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D0273">
      <w:pPr>
        <w:spacing w:line="353" w:lineRule="auto"/>
        <w:outlineLvl w:val="9"/>
        <w:rPr>
          <w:rFonts w:ascii="Arial"/>
          <w:color w:val="auto"/>
          <w:highlight w:val="none"/>
        </w:rPr>
      </w:pPr>
      <w:bookmarkStart w:id="87" w:name="_GoBack"/>
    </w:p>
    <w:p w14:paraId="29685FDC">
      <w:pPr>
        <w:spacing w:line="354" w:lineRule="auto"/>
        <w:outlineLvl w:val="9"/>
        <w:rPr>
          <w:rFonts w:ascii="Arial"/>
          <w:color w:val="auto"/>
          <w:highlight w:val="none"/>
        </w:rPr>
      </w:pPr>
    </w:p>
    <w:p w14:paraId="1D9E2A43">
      <w:pPr>
        <w:spacing w:line="360" w:lineRule="auto"/>
        <w:jc w:val="center"/>
        <w:outlineLvl w:val="0"/>
        <w:rPr>
          <w:rFonts w:hint="eastAsia" w:ascii="宋体"/>
          <w:b/>
          <w:bCs/>
          <w:color w:val="auto"/>
          <w:sz w:val="48"/>
          <w:szCs w:val="48"/>
          <w:highlight w:val="none"/>
          <w:lang w:val="en-US" w:eastAsia="zh-CN"/>
        </w:rPr>
      </w:pPr>
      <w:r>
        <w:rPr>
          <w:rFonts w:hint="eastAsia" w:ascii="宋体"/>
          <w:b/>
          <w:bCs/>
          <w:color w:val="auto"/>
          <w:sz w:val="48"/>
          <w:szCs w:val="48"/>
          <w:highlight w:val="none"/>
          <w:lang w:val="en-US" w:eastAsia="zh-CN"/>
        </w:rPr>
        <w:t>首都医科大学附属北京安贞医院吉林医院</w:t>
      </w:r>
    </w:p>
    <w:p w14:paraId="5F7D85C9">
      <w:pPr>
        <w:spacing w:line="360" w:lineRule="auto"/>
        <w:jc w:val="center"/>
        <w:outlineLvl w:val="0"/>
        <w:rPr>
          <w:rFonts w:hint="eastAsia" w:ascii="宋体"/>
          <w:b/>
          <w:bCs/>
          <w:color w:val="auto"/>
          <w:sz w:val="48"/>
          <w:szCs w:val="48"/>
          <w:highlight w:val="none"/>
          <w:lang w:val="en-US" w:eastAsia="zh-CN"/>
        </w:rPr>
      </w:pPr>
      <w:r>
        <w:rPr>
          <w:rFonts w:hint="eastAsia" w:ascii="宋体"/>
          <w:b/>
          <w:bCs/>
          <w:color w:val="auto"/>
          <w:sz w:val="48"/>
          <w:szCs w:val="48"/>
          <w:highlight w:val="none"/>
          <w:lang w:val="en-US" w:eastAsia="zh-CN"/>
        </w:rPr>
        <w:t>采购项目（9）</w:t>
      </w:r>
    </w:p>
    <w:p w14:paraId="7FD7706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88343F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50000C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02D4F1B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63BC10B">
      <w:pPr>
        <w:pStyle w:val="18"/>
        <w:outlineLvl w:val="9"/>
        <w:rPr>
          <w:rFonts w:hint="eastAsia"/>
          <w:color w:val="auto"/>
          <w:lang w:val="en-US" w:eastAsia="zh-CN"/>
        </w:rPr>
      </w:pPr>
    </w:p>
    <w:p w14:paraId="5678123A">
      <w:pPr>
        <w:pStyle w:val="7"/>
        <w:rPr>
          <w:rFonts w:hint="eastAsia"/>
          <w:color w:val="auto"/>
          <w:lang w:val="en-US" w:eastAsia="zh-CN"/>
        </w:rPr>
      </w:pPr>
    </w:p>
    <w:p w14:paraId="023992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eastAsia="zh-CN"/>
        </w:rPr>
      </w:pPr>
    </w:p>
    <w:p w14:paraId="246460D5">
      <w:pPr>
        <w:spacing w:before="231" w:line="223" w:lineRule="auto"/>
        <w:jc w:val="center"/>
        <w:outlineLvl w:val="0"/>
        <w:rPr>
          <w:rFonts w:ascii="宋体" w:hAnsi="宋体" w:cs="宋体"/>
          <w:b/>
          <w:bCs/>
          <w:color w:val="auto"/>
          <w:sz w:val="71"/>
          <w:szCs w:val="71"/>
          <w:highlight w:val="none"/>
        </w:rPr>
      </w:pPr>
      <w:bookmarkStart w:id="0" w:name="_Toc30689"/>
      <w:bookmarkStart w:id="1" w:name="_Toc2252"/>
      <w:bookmarkStart w:id="2" w:name="_Toc17122"/>
      <w:bookmarkStart w:id="3" w:name="_Toc22249"/>
      <w:bookmarkStart w:id="4" w:name="_Toc14568"/>
      <w:bookmarkStart w:id="5" w:name="_Toc4675"/>
      <w:bookmarkStart w:id="6" w:name="_Toc17134"/>
      <w:r>
        <w:rPr>
          <w:rFonts w:hint="eastAsia" w:ascii="宋体" w:hAnsi="宋体" w:eastAsia="宋体" w:cs="宋体"/>
          <w:b/>
          <w:bCs/>
          <w:color w:val="auto"/>
          <w:spacing w:val="7"/>
          <w:sz w:val="71"/>
          <w:szCs w:val="71"/>
          <w:highlight w:val="none"/>
          <w:lang w:eastAsia="zh-CN"/>
        </w:rPr>
        <w:t>招标</w:t>
      </w:r>
      <w:r>
        <w:rPr>
          <w:rFonts w:ascii="宋体" w:hAnsi="宋体" w:cs="宋体"/>
          <w:b/>
          <w:bCs/>
          <w:color w:val="auto"/>
          <w:spacing w:val="7"/>
          <w:sz w:val="71"/>
          <w:szCs w:val="71"/>
          <w:highlight w:val="none"/>
        </w:rPr>
        <w:t>文</w:t>
      </w:r>
      <w:r>
        <w:rPr>
          <w:rFonts w:ascii="宋体" w:hAnsi="宋体" w:cs="宋体"/>
          <w:b/>
          <w:bCs/>
          <w:color w:val="auto"/>
          <w:spacing w:val="5"/>
          <w:sz w:val="71"/>
          <w:szCs w:val="71"/>
          <w:highlight w:val="none"/>
        </w:rPr>
        <w:t>件</w:t>
      </w:r>
      <w:bookmarkEnd w:id="0"/>
      <w:bookmarkEnd w:id="1"/>
      <w:bookmarkEnd w:id="2"/>
      <w:bookmarkEnd w:id="3"/>
      <w:bookmarkEnd w:id="4"/>
      <w:bookmarkEnd w:id="5"/>
      <w:bookmarkEnd w:id="6"/>
    </w:p>
    <w:p w14:paraId="1CB94382">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default" w:ascii="宋体" w:hAnsi="宋体" w:eastAsia="宋体" w:cs="宋体"/>
          <w:b/>
          <w:bCs/>
          <w:color w:val="auto"/>
          <w:sz w:val="28"/>
          <w:szCs w:val="28"/>
          <w:highlight w:val="none"/>
          <w:lang w:val="en-US" w:eastAsia="zh-CN"/>
        </w:rPr>
      </w:pPr>
      <w:bookmarkStart w:id="7" w:name="_Toc13447"/>
      <w:bookmarkStart w:id="8" w:name="_Toc1303"/>
      <w:bookmarkStart w:id="9" w:name="_Toc17955"/>
      <w:bookmarkStart w:id="10" w:name="_Toc31309"/>
      <w:r>
        <w:rPr>
          <w:rFonts w:hint="eastAsia" w:ascii="宋体" w:hAnsi="宋体" w:eastAsia="宋体" w:cs="宋体"/>
          <w:b/>
          <w:bCs/>
          <w:color w:val="auto"/>
          <w:sz w:val="28"/>
          <w:szCs w:val="28"/>
          <w:highlight w:val="none"/>
        </w:rPr>
        <w:t>项目编号：</w:t>
      </w:r>
      <w:bookmarkEnd w:id="7"/>
      <w:bookmarkEnd w:id="8"/>
      <w:bookmarkEnd w:id="9"/>
      <w:bookmarkEnd w:id="10"/>
      <w:r>
        <w:rPr>
          <w:rFonts w:hint="eastAsia" w:ascii="宋体" w:hAnsi="宋体" w:eastAsia="宋体" w:cs="宋体"/>
          <w:b/>
          <w:bCs/>
          <w:color w:val="auto"/>
          <w:sz w:val="28"/>
          <w:szCs w:val="28"/>
          <w:highlight w:val="none"/>
        </w:rPr>
        <w:t>JM-2025-03-00217-JCZX202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val="en-US" w:eastAsia="zh-CN"/>
        </w:rPr>
        <w:t>11</w:t>
      </w:r>
    </w:p>
    <w:p w14:paraId="12AE59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bookmarkStart w:id="11" w:name="_Toc20466"/>
    </w:p>
    <w:p w14:paraId="1BA12D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57BABA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F7718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3EC60D9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3164110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BD40E2E">
      <w:pPr>
        <w:pStyle w:val="18"/>
        <w:outlineLvl w:val="9"/>
        <w:rPr>
          <w:rFonts w:hint="eastAsia"/>
          <w:color w:val="auto"/>
          <w:lang w:val="en-US" w:eastAsia="zh-CN"/>
        </w:rPr>
      </w:pPr>
    </w:p>
    <w:p w14:paraId="0685724F">
      <w:pPr>
        <w:keepNext w:val="0"/>
        <w:keepLines w:val="0"/>
        <w:pageBreakBefore w:val="0"/>
        <w:widowControl w:val="0"/>
        <w:kinsoku/>
        <w:wordWrap/>
        <w:overflowPunct/>
        <w:topLinePunct w:val="0"/>
        <w:autoSpaceDE/>
        <w:autoSpaceDN/>
        <w:bidi w:val="0"/>
        <w:adjustRightInd/>
        <w:snapToGrid/>
        <w:spacing w:line="360" w:lineRule="auto"/>
        <w:ind w:firstLine="904" w:firstLineChars="300"/>
        <w:textAlignment w:val="auto"/>
        <w:outlineLvl w:val="0"/>
        <w:rPr>
          <w:rFonts w:hint="eastAsia" w:ascii="宋体" w:hAnsi="宋体" w:eastAsia="宋体" w:cs="宋体"/>
          <w:b/>
          <w:bCs/>
          <w:color w:val="auto"/>
          <w:sz w:val="30"/>
          <w:szCs w:val="30"/>
        </w:rPr>
      </w:pPr>
      <w:bookmarkStart w:id="12" w:name="_Toc17357"/>
      <w:bookmarkStart w:id="13" w:name="_Toc26824"/>
      <w:bookmarkStart w:id="14" w:name="_Toc10370"/>
      <w:bookmarkStart w:id="15" w:name="_Toc18741"/>
      <w:bookmarkStart w:id="16" w:name="_Toc19489"/>
      <w:r>
        <w:rPr>
          <w:rFonts w:hint="eastAsia" w:ascii="宋体" w:hAnsi="宋体" w:eastAsia="宋体" w:cs="宋体"/>
          <w:b/>
          <w:bCs/>
          <w:color w:val="auto"/>
          <w:sz w:val="30"/>
          <w:szCs w:val="30"/>
        </w:rPr>
        <w:t>采   购   人：</w:t>
      </w:r>
      <w:bookmarkEnd w:id="11"/>
      <w:bookmarkEnd w:id="12"/>
      <w:bookmarkEnd w:id="13"/>
      <w:bookmarkEnd w:id="14"/>
      <w:bookmarkEnd w:id="15"/>
      <w:bookmarkEnd w:id="16"/>
      <w:r>
        <w:rPr>
          <w:rFonts w:hint="eastAsia" w:ascii="宋体" w:hAnsi="宋体" w:eastAsia="宋体" w:cs="宋体"/>
          <w:b/>
          <w:bCs/>
          <w:color w:val="auto"/>
          <w:sz w:val="30"/>
          <w:szCs w:val="30"/>
        </w:rPr>
        <w:t>首都医科大学附属北京安贞医院吉林医院</w:t>
      </w:r>
    </w:p>
    <w:p w14:paraId="265817A4">
      <w:pPr>
        <w:keepNext w:val="0"/>
        <w:keepLines w:val="0"/>
        <w:pageBreakBefore w:val="0"/>
        <w:widowControl w:val="0"/>
        <w:kinsoku/>
        <w:wordWrap/>
        <w:overflowPunct/>
        <w:topLinePunct w:val="0"/>
        <w:autoSpaceDE/>
        <w:autoSpaceDN/>
        <w:bidi w:val="0"/>
        <w:adjustRightInd/>
        <w:snapToGrid/>
        <w:spacing w:line="360" w:lineRule="auto"/>
        <w:ind w:firstLine="904" w:firstLineChars="300"/>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采购代理机构：吉林省吉诚工程咨询有限公司</w:t>
      </w:r>
    </w:p>
    <w:p w14:paraId="06A6AC49">
      <w:pPr>
        <w:keepNext w:val="0"/>
        <w:keepLines w:val="0"/>
        <w:pageBreakBefore w:val="0"/>
        <w:widowControl w:val="0"/>
        <w:kinsoku/>
        <w:wordWrap/>
        <w:overflowPunct/>
        <w:topLinePunct w:val="0"/>
        <w:autoSpaceDE/>
        <w:autoSpaceDN/>
        <w:bidi w:val="0"/>
        <w:adjustRightInd/>
        <w:snapToGrid/>
        <w:spacing w:line="360" w:lineRule="auto"/>
        <w:ind w:firstLine="904" w:firstLineChars="300"/>
        <w:textAlignment w:val="auto"/>
        <w:outlineLvl w:val="0"/>
        <w:rPr>
          <w:rFonts w:hint="eastAsia" w:ascii="宋体" w:hAnsi="宋体" w:eastAsia="宋体" w:cs="宋体"/>
          <w:b/>
          <w:bCs/>
          <w:color w:val="auto"/>
          <w:sz w:val="30"/>
          <w:szCs w:val="30"/>
        </w:rPr>
      </w:pPr>
      <w:bookmarkStart w:id="17" w:name="_Toc17061"/>
      <w:bookmarkStart w:id="18" w:name="_Toc7538"/>
      <w:bookmarkStart w:id="19" w:name="_Toc2467"/>
      <w:bookmarkStart w:id="20" w:name="_Toc1588"/>
      <w:bookmarkStart w:id="21" w:name="_Toc8956"/>
      <w:bookmarkStart w:id="22" w:name="_Toc10255"/>
      <w:r>
        <w:rPr>
          <w:rFonts w:hint="eastAsia" w:ascii="宋体" w:hAnsi="宋体" w:eastAsia="宋体" w:cs="宋体"/>
          <w:b/>
          <w:bCs/>
          <w:color w:val="auto"/>
          <w:sz w:val="30"/>
          <w:szCs w:val="30"/>
          <w:lang w:eastAsia="zh-CN"/>
        </w:rPr>
        <w:t>日</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lang w:eastAsia="zh-CN"/>
        </w:rPr>
        <w:t>期：</w:t>
      </w:r>
      <w:r>
        <w:rPr>
          <w:rFonts w:hint="eastAsia" w:ascii="宋体" w:hAnsi="宋体" w:eastAsia="宋体" w:cs="宋体"/>
          <w:b/>
          <w:bCs/>
          <w:color w:val="auto"/>
          <w:sz w:val="30"/>
          <w:szCs w:val="30"/>
        </w:rPr>
        <w:t>二〇</w:t>
      </w:r>
      <w:r>
        <w:rPr>
          <w:rFonts w:hint="eastAsia" w:ascii="宋体" w:hAnsi="宋体" w:eastAsia="宋体" w:cs="宋体"/>
          <w:b/>
          <w:bCs/>
          <w:color w:val="auto"/>
          <w:sz w:val="30"/>
          <w:szCs w:val="30"/>
          <w:lang w:eastAsia="zh-CN"/>
        </w:rPr>
        <w:t>二五</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四</w:t>
      </w:r>
      <w:r>
        <w:rPr>
          <w:rFonts w:hint="eastAsia" w:ascii="宋体" w:hAnsi="宋体" w:eastAsia="宋体" w:cs="宋体"/>
          <w:b/>
          <w:bCs/>
          <w:color w:val="auto"/>
          <w:sz w:val="30"/>
          <w:szCs w:val="30"/>
        </w:rPr>
        <w:t>月</w:t>
      </w:r>
      <w:bookmarkEnd w:id="17"/>
      <w:bookmarkEnd w:id="18"/>
      <w:bookmarkEnd w:id="19"/>
      <w:bookmarkEnd w:id="20"/>
      <w:bookmarkEnd w:id="21"/>
      <w:bookmarkEnd w:id="22"/>
    </w:p>
    <w:p w14:paraId="3B1062F7">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p>
    <w:p w14:paraId="5DF90207">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snapToGrid w:val="0"/>
          <w:color w:val="auto"/>
          <w:kern w:val="0"/>
          <w:sz w:val="28"/>
          <w:szCs w:val="28"/>
          <w:lang w:val="en-US" w:eastAsia="en-US" w:bidi="ar-SA"/>
        </w:rPr>
        <w:sectPr>
          <w:footerReference r:id="rId5" w:type="default"/>
          <w:pgSz w:w="11906" w:h="16839"/>
          <w:pgMar w:top="1440" w:right="1310" w:bottom="1440" w:left="1310" w:header="0" w:footer="886" w:gutter="0"/>
          <w:pgNumType w:fmt="decimal"/>
          <w:cols w:space="720" w:num="1"/>
        </w:sectPr>
      </w:pPr>
    </w:p>
    <w:sdt>
      <w:sdtPr>
        <w:rPr>
          <w:rFonts w:hint="eastAsia" w:ascii="宋体" w:hAnsi="宋体" w:eastAsia="宋体" w:cs="宋体"/>
          <w:b/>
          <w:bCs/>
          <w:snapToGrid w:val="0"/>
          <w:color w:val="auto"/>
          <w:kern w:val="0"/>
          <w:sz w:val="28"/>
          <w:szCs w:val="28"/>
          <w:lang w:val="en-US" w:eastAsia="en-US" w:bidi="ar-SA"/>
        </w:rPr>
        <w:id w:val="147481105"/>
        <w15:color w:val="DBDBDB"/>
        <w:docPartObj>
          <w:docPartGallery w:val="Table of Contents"/>
          <w:docPartUnique/>
        </w:docPartObj>
      </w:sdtPr>
      <w:sdtEndPr>
        <w:rPr>
          <w:rFonts w:hint="eastAsia" w:ascii="宋体" w:hAnsi="宋体" w:eastAsia="宋体" w:cs="宋体"/>
          <w:b/>
          <w:bCs/>
          <w:snapToGrid w:val="0"/>
          <w:color w:val="auto"/>
          <w:kern w:val="0"/>
          <w:sz w:val="28"/>
          <w:szCs w:val="28"/>
          <w:lang w:val="en-US" w:eastAsia="en-US" w:bidi="ar-SA"/>
        </w:rPr>
      </w:sdtEndPr>
      <w:sdtContent>
        <w:p w14:paraId="77AF4C52">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w:t>
          </w:r>
          <w:r>
            <w:rPr>
              <w:rFonts w:hint="eastAsia" w:ascii="宋体" w:hAnsi="宋体" w:eastAsia="宋体" w:cs="宋体"/>
              <w:b/>
              <w:bCs/>
              <w:color w:val="auto"/>
              <w:sz w:val="40"/>
              <w:szCs w:val="40"/>
              <w:lang w:val="en-US" w:eastAsia="zh-CN"/>
            </w:rPr>
            <w:t xml:space="preserve">   </w:t>
          </w:r>
          <w:r>
            <w:rPr>
              <w:rFonts w:hint="eastAsia" w:ascii="宋体" w:hAnsi="宋体" w:eastAsia="宋体" w:cs="宋体"/>
              <w:b/>
              <w:bCs/>
              <w:color w:val="auto"/>
              <w:sz w:val="40"/>
              <w:szCs w:val="40"/>
            </w:rPr>
            <w:t>录</w:t>
          </w:r>
        </w:p>
        <w:p w14:paraId="043E53CC">
          <w:pPr>
            <w:pStyle w:val="10"/>
            <w:tabs>
              <w:tab w:val="right" w:leader="dot" w:pos="9286"/>
            </w:tabs>
            <w:rPr>
              <w:color w:val="auto"/>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p>
        <w:p w14:paraId="2CACCAF9">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9F6C7D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_Toc23171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0111E46">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B195FF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_Toc12764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1954D48">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_Toc9810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3D2BDF4">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4E3D50B">
          <w:pPr>
            <w:pStyle w:val="10"/>
            <w:tabs>
              <w:tab w:val="right" w:leader="dot" w:pos="9286"/>
            </w:tabs>
            <w:rPr>
              <w:color w:val="auto"/>
            </w:rPr>
          </w:pPr>
        </w:p>
        <w:p w14:paraId="4E91087E">
          <w:pPr>
            <w:keepNext w:val="0"/>
            <w:keepLines w:val="0"/>
            <w:pageBreakBefore w:val="0"/>
            <w:widowControl/>
            <w:wordWrap/>
            <w:overflowPunct/>
            <w:topLinePunct w:val="0"/>
            <w:bidi w:val="0"/>
            <w:spacing w:before="0" w:beforeLines="0" w:after="0" w:afterLines="0" w:line="360" w:lineRule="auto"/>
            <w:rPr>
              <w:color w:val="auto"/>
            </w:rPr>
          </w:pPr>
          <w:r>
            <w:rPr>
              <w:rFonts w:hint="eastAsia" w:ascii="宋体" w:hAnsi="宋体" w:eastAsia="宋体" w:cs="宋体"/>
              <w:bCs/>
              <w:color w:val="auto"/>
              <w:szCs w:val="28"/>
            </w:rPr>
            <w:fldChar w:fldCharType="end"/>
          </w:r>
        </w:p>
      </w:sdtContent>
    </w:sdt>
    <w:p w14:paraId="793DDC9F">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6A9EC563">
      <w:pPr>
        <w:bidi w:val="0"/>
        <w:jc w:val="left"/>
        <w:rPr>
          <w:rFonts w:hint="eastAsia" w:ascii="Arial" w:hAnsi="Arial" w:eastAsia="Arial" w:cs="Arial"/>
          <w:snapToGrid w:val="0"/>
          <w:color w:val="auto"/>
          <w:kern w:val="0"/>
          <w:sz w:val="21"/>
          <w:szCs w:val="21"/>
          <w:lang w:val="en-US" w:eastAsia="en-US" w:bidi="ar-SA"/>
        </w:rPr>
      </w:pPr>
    </w:p>
    <w:p w14:paraId="08DC2F1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eastAsia="宋体"/>
          <w:color w:val="auto"/>
          <w:sz w:val="32"/>
          <w:szCs w:val="32"/>
          <w:lang w:eastAsia="zh-CN"/>
        </w:rPr>
      </w:pPr>
      <w:bookmarkStart w:id="23" w:name="_Toc4225"/>
      <w:bookmarkStart w:id="24" w:name="_Toc27731"/>
      <w:r>
        <w:rPr>
          <w:rFonts w:hint="eastAsia"/>
          <w:color w:val="auto"/>
          <w:sz w:val="32"/>
          <w:szCs w:val="32"/>
        </w:rPr>
        <w:t xml:space="preserve">第一章   </w:t>
      </w:r>
      <w:bookmarkEnd w:id="23"/>
      <w:bookmarkEnd w:id="24"/>
      <w:r>
        <w:rPr>
          <w:rFonts w:hint="eastAsia"/>
          <w:color w:val="auto"/>
          <w:sz w:val="32"/>
          <w:szCs w:val="32"/>
          <w:lang w:eastAsia="zh-CN"/>
        </w:rPr>
        <w:t>招标公告</w:t>
      </w:r>
    </w:p>
    <w:p w14:paraId="02B993C0">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3F0DC1AF">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14:textOutline w14:w="6537" w14:cap="sq" w14:cmpd="sng">
            <w14:solidFill>
              <w14:srgbClr w14:val="000000"/>
            </w14:solidFill>
            <w14:prstDash w14:val="solid"/>
            <w14:bevel/>
          </w14:textOutline>
        </w:rPr>
        <w:t>首都医科大学附属北京安贞医院吉林医院采购项目（9）</w:t>
      </w:r>
    </w:p>
    <w:p w14:paraId="0B820BA9">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t>招标公告</w:t>
      </w:r>
    </w:p>
    <w:tbl>
      <w:tblPr>
        <w:tblStyle w:val="16"/>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5F2E047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vAlign w:val="top"/>
          </w:tcPr>
          <w:p w14:paraId="41235D6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A0B8A42">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rPr>
            </w:pPr>
            <w:r>
              <w:rPr>
                <w:rFonts w:hint="eastAsia" w:ascii="宋体" w:hAnsi="宋体" w:eastAsia="宋体" w:cs="宋体"/>
                <w:color w:val="auto"/>
                <w:sz w:val="24"/>
                <w:szCs w:val="24"/>
              </w:rPr>
              <w:t>首都医科大学附属北京安贞医院吉林医院采购项目（9）的潜在投标人应在政采云平台（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sz w:val="24"/>
                <w:szCs w:val="24"/>
              </w:rPr>
              <w:t>（北京时间）前递交投标文件。</w:t>
            </w:r>
          </w:p>
        </w:tc>
      </w:tr>
    </w:tbl>
    <w:p w14:paraId="5033385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4CCB81E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1.1项目编号：JM-2025-03-00217-JCZX2025-0</w:t>
      </w:r>
      <w:r>
        <w:rPr>
          <w:rFonts w:hint="eastAsia" w:ascii="宋体" w:hAnsi="宋体" w:eastAsia="宋体" w:cs="宋体"/>
          <w:color w:val="auto"/>
          <w:sz w:val="24"/>
          <w:szCs w:val="24"/>
          <w:lang w:val="en-US" w:eastAsia="zh-CN"/>
        </w:rPr>
        <w:t>11</w:t>
      </w:r>
    </w:p>
    <w:p w14:paraId="2E01A27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1.2采购项目编号：JM-2025-03-00217</w:t>
      </w:r>
    </w:p>
    <w:p w14:paraId="6E4D5FA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1.3项目名称：首都医科大学附属北京安贞医院吉林医院采购项目（9）</w:t>
      </w:r>
    </w:p>
    <w:p w14:paraId="49CF65A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1.4预算金额：</w:t>
      </w:r>
      <w:r>
        <w:rPr>
          <w:rFonts w:hint="eastAsia" w:ascii="宋体" w:hAnsi="宋体" w:eastAsia="宋体" w:cs="宋体"/>
          <w:color w:val="auto"/>
          <w:sz w:val="24"/>
          <w:szCs w:val="24"/>
          <w:lang w:val="en-US" w:eastAsia="zh-CN"/>
        </w:rPr>
        <w:t>428万元</w:t>
      </w:r>
    </w:p>
    <w:p w14:paraId="21101E5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428万元</w:t>
      </w:r>
    </w:p>
    <w:p w14:paraId="405BCDF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采购需求：本项目拟采购手术室无影灯、吊塔、手术床</w:t>
      </w:r>
      <w:r>
        <w:rPr>
          <w:rFonts w:hint="eastAsia" w:ascii="宋体" w:hAnsi="宋体" w:eastAsia="宋体" w:cs="宋体"/>
          <w:color w:val="auto"/>
          <w:sz w:val="24"/>
          <w:szCs w:val="24"/>
          <w:lang w:eastAsia="zh-CN"/>
        </w:rPr>
        <w:t>（具体参数详见招标文件采购需求）</w:t>
      </w:r>
    </w:p>
    <w:p w14:paraId="7EB1D931">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合同履行期限（交货时间）：合同签订之日起30天内</w:t>
      </w:r>
      <w:r>
        <w:rPr>
          <w:rFonts w:hint="eastAsia" w:ascii="宋体" w:hAnsi="宋体" w:eastAsia="宋体" w:cs="宋体"/>
          <w:color w:val="auto"/>
          <w:sz w:val="24"/>
          <w:szCs w:val="24"/>
          <w:lang w:val="en-US" w:eastAsia="zh-CN"/>
        </w:rPr>
        <w:t>。</w:t>
      </w:r>
    </w:p>
    <w:p w14:paraId="77D5E1E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1.8质量标准：</w:t>
      </w:r>
      <w:r>
        <w:rPr>
          <w:rFonts w:hint="eastAsia" w:ascii="宋体" w:hAnsi="宋体" w:eastAsia="宋体" w:cs="宋体"/>
          <w:color w:val="auto"/>
          <w:sz w:val="24"/>
          <w:szCs w:val="24"/>
        </w:rPr>
        <w:t>满足国家及行业规范标准及采购人要求</w:t>
      </w:r>
    </w:p>
    <w:p w14:paraId="040CB43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14:paraId="6C0D413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4AE47E52">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满足《中华人民共和国政府采购法》第二十二条规定；</w:t>
      </w:r>
    </w:p>
    <w:p w14:paraId="42B8D35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2.落实政府采购政策需满足的资格要求：本项目</w:t>
      </w:r>
      <w:r>
        <w:rPr>
          <w:rFonts w:hint="eastAsia" w:ascii="宋体" w:hAnsi="宋体" w:eastAsia="宋体" w:cs="宋体"/>
          <w:color w:val="auto"/>
          <w:sz w:val="24"/>
          <w:szCs w:val="24"/>
          <w:lang w:eastAsia="zh-CN"/>
        </w:rPr>
        <w:t>非</w:t>
      </w:r>
      <w:r>
        <w:rPr>
          <w:rFonts w:hint="eastAsia" w:ascii="宋体" w:hAnsi="宋体" w:eastAsia="宋体" w:cs="宋体"/>
          <w:color w:val="auto"/>
          <w:sz w:val="24"/>
          <w:szCs w:val="24"/>
        </w:rPr>
        <w:t>专门面向中小企业采购</w:t>
      </w:r>
      <w:r>
        <w:rPr>
          <w:rFonts w:hint="eastAsia" w:ascii="宋体" w:hAnsi="宋体" w:eastAsia="宋体" w:cs="宋体"/>
          <w:color w:val="auto"/>
          <w:sz w:val="24"/>
          <w:szCs w:val="24"/>
          <w:lang w:eastAsia="zh-CN"/>
        </w:rPr>
        <w:t>；</w:t>
      </w:r>
    </w:p>
    <w:p w14:paraId="0B0161D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9977123">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3FA188E6">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0F2712BB">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1653A8B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3.4信誉要求：（1）拒绝列入政府取消投标资格记录期间的企业或个人投标。</w:t>
      </w:r>
    </w:p>
    <w:p w14:paraId="48B9FCF5">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37C305D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与采购人存在利害关系可能影响采购公正性的法人、其它组织或者个人，不得参加投标；单位负责人为同一人或者存在直接控股、管理关系的不同供应商，不得参加同一合同项下的政府采购活动。否则相关投标无效</w:t>
      </w:r>
      <w:r>
        <w:rPr>
          <w:rFonts w:hint="eastAsia" w:ascii="宋体" w:hAnsi="宋体" w:eastAsia="宋体" w:cs="宋体"/>
          <w:color w:val="auto"/>
          <w:sz w:val="24"/>
          <w:szCs w:val="24"/>
          <w:lang w:eastAsia="zh-CN"/>
        </w:rPr>
        <w:t>。</w:t>
      </w:r>
    </w:p>
    <w:p w14:paraId="4D84398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14:paraId="23A1E8D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日</w:t>
      </w:r>
      <w:r>
        <w:rPr>
          <w:rFonts w:hint="eastAsia" w:ascii="宋体" w:hAnsi="宋体" w:eastAsia="宋体" w:cs="宋体"/>
          <w:color w:val="auto"/>
          <w:sz w:val="24"/>
          <w:szCs w:val="24"/>
        </w:rPr>
        <w:t>（每天08时30分至16时00分止）</w:t>
      </w:r>
    </w:p>
    <w:p w14:paraId="255BB7C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3.2地点：政采云平台（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125492D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3.3方式：网上免费获取</w:t>
      </w:r>
      <w:r>
        <w:rPr>
          <w:rFonts w:hint="eastAsia" w:ascii="宋体" w:hAnsi="宋体" w:eastAsia="宋体" w:cs="宋体"/>
          <w:color w:val="auto"/>
          <w:sz w:val="24"/>
          <w:szCs w:val="24"/>
          <w:lang w:eastAsia="zh-CN"/>
        </w:rPr>
        <w:t>；</w:t>
      </w:r>
    </w:p>
    <w:p w14:paraId="56DB2F4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潜在供应商自行登录政府采购云平台（网址：http://www.zcygov.cn）注册（https://middle.zcygov.cn/v-settle-front/registry）并下载</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文件（操作路径：登录“政采云”平台-项目采购-获取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文件-找到本项目-点击“申请获取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文件”），电子</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文件制作需要基于“政采云”平台获取的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文件采购需求编制，其他途径获取的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文件开标时一律按无效投标处理。</w:t>
      </w:r>
    </w:p>
    <w:p w14:paraId="491C36E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3.4售价：0元。</w:t>
      </w:r>
    </w:p>
    <w:p w14:paraId="3CA83DD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四、提交投标文件截止时间、开标时间和地点</w:t>
      </w:r>
    </w:p>
    <w:p w14:paraId="5B969FB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4.1提交投标文件截止时间、开标时间：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sz w:val="24"/>
          <w:szCs w:val="24"/>
        </w:rPr>
        <w:t>（北京时间）</w:t>
      </w:r>
    </w:p>
    <w:p w14:paraId="5EF4AC6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4.2地点：政采云平台（https://www.zcygov.cn/）。</w:t>
      </w:r>
    </w:p>
    <w:p w14:paraId="57A6745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4.3投标文件的提交方式：本项目为全流程电子化项目，通过政采云平台（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4632ABD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4.4开标地点：长春市二道区洋浦大街6999号凯利中心AB栋101</w:t>
      </w:r>
      <w:r>
        <w:rPr>
          <w:rFonts w:hint="eastAsia" w:ascii="宋体" w:hAnsi="宋体" w:eastAsia="宋体" w:cs="宋体"/>
          <w:color w:val="auto"/>
          <w:sz w:val="24"/>
          <w:szCs w:val="24"/>
          <w:lang w:eastAsia="zh-CN"/>
        </w:rPr>
        <w:t>室</w:t>
      </w:r>
      <w:r>
        <w:rPr>
          <w:rFonts w:hint="eastAsia" w:ascii="宋体" w:hAnsi="宋体" w:eastAsia="宋体" w:cs="宋体"/>
          <w:color w:val="auto"/>
          <w:sz w:val="24"/>
          <w:szCs w:val="24"/>
        </w:rPr>
        <w:t>开标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室</w:t>
      </w:r>
      <w:r>
        <w:rPr>
          <w:rFonts w:hint="eastAsia" w:ascii="宋体" w:hAnsi="宋体" w:eastAsia="宋体" w:cs="宋体"/>
          <w:color w:val="auto"/>
          <w:sz w:val="24"/>
          <w:szCs w:val="24"/>
        </w:rPr>
        <w:t>。</w:t>
      </w:r>
    </w:p>
    <w:p w14:paraId="271FD2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p>
    <w:p w14:paraId="6BA8260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自本公告发布之日起5个工作日。</w:t>
      </w:r>
    </w:p>
    <w:p w14:paraId="272F1B2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14:paraId="6E606E9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公</w:t>
      </w:r>
      <w:r>
        <w:rPr>
          <w:rFonts w:hint="eastAsia" w:ascii="宋体" w:hAnsi="宋体" w:eastAsia="宋体" w:cs="宋体"/>
          <w:color w:val="auto"/>
          <w:sz w:val="24"/>
          <w:szCs w:val="24"/>
          <w:lang w:eastAsia="zh-CN"/>
        </w:rPr>
        <w:t>告</w:t>
      </w:r>
      <w:r>
        <w:rPr>
          <w:rFonts w:hint="eastAsia" w:ascii="宋体" w:hAnsi="宋体" w:eastAsia="宋体" w:cs="宋体"/>
          <w:color w:val="auto"/>
          <w:sz w:val="24"/>
          <w:szCs w:val="24"/>
        </w:rPr>
        <w:t>媒介</w:t>
      </w:r>
      <w:r>
        <w:rPr>
          <w:rFonts w:hint="eastAsia" w:ascii="宋体" w:hAnsi="宋体" w:eastAsia="宋体" w:cs="宋体"/>
          <w:color w:val="auto"/>
          <w:sz w:val="24"/>
          <w:szCs w:val="24"/>
          <w:lang w:eastAsia="zh-CN"/>
        </w:rPr>
        <w:t>：本次招标公告在“政采云”平台（http://www.zcygov.cn）（同步推送到中国政府采购网、吉林省政府采购网、长春市公共资源交易网）上发布。</w:t>
      </w:r>
    </w:p>
    <w:p w14:paraId="19B4370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采购项目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w:t>
      </w:r>
      <w:r>
        <w:rPr>
          <w:rFonts w:hint="eastAsia" w:ascii="宋体" w:hAnsi="宋体" w:eastAsia="宋体" w:cs="宋体"/>
          <w:color w:val="auto"/>
          <w:sz w:val="24"/>
          <w:szCs w:val="24"/>
          <w:lang w:eastAsia="zh-CN"/>
        </w:rPr>
        <w:t>最新政策</w:t>
      </w:r>
      <w:r>
        <w:rPr>
          <w:rFonts w:hint="eastAsia" w:ascii="宋体" w:hAnsi="宋体" w:eastAsia="宋体" w:cs="宋体"/>
          <w:color w:val="auto"/>
          <w:sz w:val="24"/>
          <w:szCs w:val="24"/>
        </w:rPr>
        <w:t>。</w:t>
      </w:r>
    </w:p>
    <w:p w14:paraId="071AC6B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3政采云平台相关流程：</w:t>
      </w:r>
    </w:p>
    <w:p w14:paraId="1F22A52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（1）投标人在电子化平台参与政府采购项目前，应在电子化平台完成信息注册（如已注册长春市政府采购电子商城则无需重复注册），注册链接：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"https://middle.zcygov.cn/v-settle-front/registry"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https://middle.zcygov.cn/v-settle-front/registry</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，政采云平台客服热线：95763；</w:t>
      </w:r>
    </w:p>
    <w:p w14:paraId="65382FA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（2）政采云投标客户端及CA驱动下载地址：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w:t>
      </w:r>
    </w:p>
    <w:p w14:paraId="6782BB9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（3）CA数字证书申请流程链接：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"http://www.anxinca.com/kehu/zcy/kh-zcy-zsshenqing.html"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http://www.anxinca.com/kehu/zcy/kh-zcy-zsshenqing.html</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14:paraId="5CD7B011">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（4）为确保网上操作合法、有效和安全，请投标人确保在电子响应过程中能够对相 关数据电文进行加密和使用电子签章，妥善保管CA数字证书并使用有效的CA数字证书参与整个采购活动；</w:t>
      </w:r>
    </w:p>
    <w:p w14:paraId="2695FA9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（5）若对项目采购电子交易系统操作有疑问，可登录政采云平台，点击右侧咨询小采获取采小蜜智能服务管家帮助或点击右侧帮助文档查看投标人指南或拨打政采云服务热线95763获取热线服务帮助。</w:t>
      </w:r>
    </w:p>
    <w:p w14:paraId="1FE79B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p>
    <w:p w14:paraId="35F313F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E954606">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采购人：首都医科大学附属北京安贞医院吉林医院</w:t>
      </w:r>
    </w:p>
    <w:p w14:paraId="20FED7E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地址：长春市南关区人民大街1810号</w:t>
      </w:r>
    </w:p>
    <w:p w14:paraId="63BE5FCF">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联系人：祖龙飞</w:t>
      </w:r>
    </w:p>
    <w:p w14:paraId="08F9AB4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联系电话：15843087507</w:t>
      </w:r>
    </w:p>
    <w:p w14:paraId="50079724">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采购代理机构信息</w:t>
      </w:r>
    </w:p>
    <w:p w14:paraId="7551FF4B">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eastAsia="zh-CN"/>
        </w:rPr>
        <w:t>吉林省吉诚工程咨询有限公司</w:t>
      </w:r>
    </w:p>
    <w:p w14:paraId="7186F59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地址：长春市绿园区吾悦广场B座15楼1536室</w:t>
      </w:r>
    </w:p>
    <w:p w14:paraId="26CFD3B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项目联系人：曹健0431-81336999</w:t>
      </w:r>
    </w:p>
    <w:p w14:paraId="7F81E4B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19B15D93">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项目联系人：曹健</w:t>
      </w:r>
    </w:p>
    <w:p w14:paraId="55A40A2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联系电话：0431-81336999</w:t>
      </w:r>
    </w:p>
    <w:p w14:paraId="4F98A16F">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69F086C5">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25" w:name="_Toc4106"/>
      <w:bookmarkStart w:id="26" w:name="_Toc23171"/>
      <w:r>
        <w:rPr>
          <w:rFonts w:hint="eastAsia"/>
          <w:color w:val="auto"/>
          <w:sz w:val="32"/>
          <w:szCs w:val="22"/>
        </w:rPr>
        <w:t>第二章</w:t>
      </w:r>
      <w:r>
        <w:rPr>
          <w:rFonts w:hint="eastAsia"/>
          <w:color w:val="auto"/>
          <w:sz w:val="32"/>
          <w:szCs w:val="22"/>
          <w:lang w:val="en-US" w:eastAsia="zh-CN"/>
        </w:rPr>
        <w:t xml:space="preserve">  </w:t>
      </w:r>
      <w:r>
        <w:rPr>
          <w:rFonts w:hint="eastAsia"/>
          <w:color w:val="auto"/>
          <w:sz w:val="32"/>
          <w:szCs w:val="22"/>
        </w:rPr>
        <w:t xml:space="preserve"> 投标人须知</w:t>
      </w:r>
      <w:bookmarkEnd w:id="25"/>
      <w:bookmarkEnd w:id="26"/>
    </w:p>
    <w:p w14:paraId="2284CF63">
      <w:pPr>
        <w:spacing w:before="254" w:line="221" w:lineRule="auto"/>
        <w:ind w:left="4050"/>
        <w:outlineLvl w:val="9"/>
        <w:rPr>
          <w:rFonts w:hint="eastAsia" w:ascii="宋体" w:hAnsi="宋体" w:eastAsia="宋体" w:cs="宋体"/>
          <w:color w:val="auto"/>
          <w:sz w:val="24"/>
          <w:szCs w:val="24"/>
        </w:rPr>
      </w:pPr>
      <w:bookmarkStart w:id="27" w:name="_Toc15682"/>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一</w:t>
      </w:r>
      <w:r>
        <w:rPr>
          <w:rFonts w:hint="eastAsia" w:ascii="宋体" w:hAnsi="宋体" w:eastAsia="宋体" w:cs="宋体"/>
          <w:color w:val="auto"/>
          <w:spacing w:val="-10"/>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总</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则</w:t>
      </w:r>
      <w:bookmarkEnd w:id="27"/>
    </w:p>
    <w:p w14:paraId="2B833E2C">
      <w:pPr>
        <w:spacing w:before="181" w:line="220" w:lineRule="auto"/>
        <w:outlineLvl w:val="9"/>
        <w:rPr>
          <w:rFonts w:hint="eastAsia" w:ascii="宋体" w:hAnsi="宋体" w:eastAsia="宋体" w:cs="宋体"/>
          <w:color w:val="auto"/>
          <w:sz w:val="24"/>
          <w:szCs w:val="24"/>
          <w:highlight w:val="none"/>
        </w:rPr>
      </w:pPr>
      <w:bookmarkStart w:id="28" w:name="_Toc20563"/>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1、资金来源</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：财政资金和单位自筹资金</w:t>
      </w:r>
      <w:r>
        <w:rPr>
          <w:rFonts w:hint="eastAsia" w:ascii="宋体" w:hAnsi="宋体" w:eastAsia="宋体" w:cs="宋体"/>
          <w:b/>
          <w:bCs/>
          <w:color w:val="auto"/>
          <w:spacing w:val="-2"/>
          <w:sz w:val="24"/>
          <w:szCs w:val="24"/>
          <w:highlight w:val="none"/>
          <w14:textOutline w14:w="4358" w14:cap="sq" w14:cmpd="sng">
            <w14:solidFill>
              <w14:srgbClr w14:val="000000"/>
            </w14:solidFill>
            <w14:prstDash w14:val="solid"/>
            <w14:bevel/>
          </w14:textOutline>
        </w:rPr>
        <w:t>。</w:t>
      </w:r>
      <w:bookmarkEnd w:id="28"/>
    </w:p>
    <w:p w14:paraId="765314C3">
      <w:pPr>
        <w:spacing w:before="179" w:line="219" w:lineRule="auto"/>
        <w:outlineLvl w:val="9"/>
        <w:rPr>
          <w:rFonts w:hint="eastAsia" w:ascii="宋体" w:hAnsi="宋体" w:eastAsia="宋体" w:cs="宋体"/>
          <w:color w:val="auto"/>
          <w:sz w:val="24"/>
          <w:szCs w:val="24"/>
        </w:rPr>
      </w:pPr>
      <w:bookmarkStart w:id="29" w:name="_Toc1136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2、采购人、采购代理机构、投标人</w:t>
      </w:r>
      <w:bookmarkEnd w:id="29"/>
    </w:p>
    <w:p w14:paraId="722CE1A9">
      <w:pPr>
        <w:spacing w:before="181"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2.1“采购人”是指：首都医科大学附属北京安贞医院吉林医院</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项目采购单位，合同的需方。</w:t>
      </w:r>
    </w:p>
    <w:p w14:paraId="1BF09CF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2.2“采购代理机构”是指：吉林省吉诚工程咨询有限公司。</w:t>
      </w:r>
    </w:p>
    <w:p w14:paraId="3D57CF60">
      <w:pPr>
        <w:tabs>
          <w:tab w:val="left" w:pos="201"/>
        </w:tabs>
        <w:spacing w:before="183" w:line="219" w:lineRule="auto"/>
        <w:ind w:firstLine="234" w:firstLineChars="100"/>
        <w:outlineLvl w:val="9"/>
        <w:rPr>
          <w:rFonts w:hint="eastAsia" w:ascii="宋体" w:hAnsi="宋体" w:eastAsia="宋体" w:cs="宋体"/>
          <w:color w:val="auto"/>
          <w:sz w:val="24"/>
          <w:szCs w:val="24"/>
        </w:rPr>
      </w:pPr>
      <w:bookmarkStart w:id="30" w:name="_Toc26658"/>
      <w:r>
        <w:rPr>
          <w:rFonts w:hint="eastAsia" w:ascii="宋体" w:hAnsi="宋体" w:eastAsia="宋体" w:cs="宋体"/>
          <w:color w:val="auto"/>
          <w:spacing w:val="-3"/>
          <w:sz w:val="24"/>
          <w:szCs w:val="24"/>
        </w:rPr>
        <w:t>2.3“投标人（也称“供应商”、</w:t>
      </w:r>
      <w:r>
        <w:rPr>
          <w:rFonts w:hint="eastAsia" w:ascii="宋体" w:hAnsi="宋体" w:eastAsia="宋体" w:cs="宋体"/>
          <w:color w:val="auto"/>
          <w:spacing w:val="-3"/>
          <w:sz w:val="24"/>
          <w:szCs w:val="24"/>
          <w:lang w:eastAsia="zh-CN"/>
        </w:rPr>
        <w:t>“申请人”</w:t>
      </w:r>
      <w:r>
        <w:rPr>
          <w:rFonts w:hint="eastAsia" w:ascii="宋体" w:hAnsi="宋体" w:eastAsia="宋体" w:cs="宋体"/>
          <w:color w:val="auto"/>
          <w:spacing w:val="-3"/>
          <w:sz w:val="24"/>
          <w:szCs w:val="24"/>
        </w:rPr>
        <w:t>）</w:t>
      </w:r>
      <w:r>
        <w:rPr>
          <w:rFonts w:hint="eastAsia" w:ascii="宋体" w:hAnsi="宋体" w:eastAsia="宋体" w:cs="宋体"/>
          <w:color w:val="auto"/>
          <w:spacing w:val="-86"/>
          <w:sz w:val="24"/>
          <w:szCs w:val="24"/>
          <w:lang w:eastAsia="zh-CN"/>
        </w:rPr>
        <w:t>”</w:t>
      </w:r>
      <w:r>
        <w:rPr>
          <w:rFonts w:hint="eastAsia" w:ascii="宋体" w:hAnsi="宋体" w:eastAsia="宋体" w:cs="宋体"/>
          <w:color w:val="auto"/>
          <w:spacing w:val="-3"/>
          <w:sz w:val="24"/>
          <w:szCs w:val="24"/>
        </w:rPr>
        <w:t>是指响应招标、参加投标竞争的法</w:t>
      </w:r>
      <w:bookmarkEnd w:id="30"/>
    </w:p>
    <w:p w14:paraId="77BB57E5">
      <w:pPr>
        <w:spacing w:before="180" w:line="221"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人、其他组织或者自然人。</w:t>
      </w:r>
    </w:p>
    <w:p w14:paraId="7EF607CC">
      <w:pPr>
        <w:spacing w:before="181" w:line="220" w:lineRule="auto"/>
        <w:outlineLvl w:val="9"/>
        <w:rPr>
          <w:rFonts w:hint="eastAsia" w:ascii="宋体" w:hAnsi="宋体" w:eastAsia="宋体" w:cs="宋体"/>
          <w:color w:val="auto"/>
          <w:sz w:val="24"/>
          <w:szCs w:val="24"/>
          <w:highlight w:val="none"/>
        </w:rPr>
      </w:pPr>
      <w:bookmarkStart w:id="31" w:name="_Toc22020"/>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3、合格投标人</w:t>
      </w:r>
      <w:bookmarkEnd w:id="31"/>
    </w:p>
    <w:p w14:paraId="26D9473A">
      <w:pPr>
        <w:spacing w:before="183" w:line="219" w:lineRule="auto"/>
        <w:ind w:left="482"/>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14:paraId="65607108">
      <w:pPr>
        <w:spacing w:before="181"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4、投标费用</w:t>
      </w:r>
    </w:p>
    <w:p w14:paraId="39BA036F">
      <w:pPr>
        <w:keepNext w:val="0"/>
        <w:keepLines w:val="0"/>
        <w:pageBreakBefore w:val="0"/>
        <w:widowControl/>
        <w:kinsoku w:val="0"/>
        <w:wordWrap/>
        <w:overflowPunct/>
        <w:topLinePunct w:val="0"/>
        <w:autoSpaceDE w:val="0"/>
        <w:autoSpaceDN w:val="0"/>
        <w:bidi w:val="0"/>
        <w:adjustRightInd w:val="0"/>
        <w:snapToGrid w:val="0"/>
        <w:spacing w:before="181" w:line="240" w:lineRule="auto"/>
        <w:ind w:left="0" w:firstLine="476" w:firstLineChars="200"/>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投标人应承担所有与编写和提交投标文件有关的费用，无论投标的结果如何，采购人和采购代理机构在任何情况下均无义务和责任承担这些费用。</w:t>
      </w:r>
    </w:p>
    <w:p w14:paraId="2A9C39DC">
      <w:pPr>
        <w:spacing w:before="183"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5、政府采购政策（包括但不限于下列具体政策要求）</w:t>
      </w:r>
    </w:p>
    <w:p w14:paraId="76CC31B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 采购本国货物、工程和服务</w:t>
      </w:r>
    </w:p>
    <w:p w14:paraId="0EE1D4F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 政府采购应当采购本国货物、工程和服务。但有《中华人民共和国政府采购法》第十条规定情形的除外。</w:t>
      </w:r>
    </w:p>
    <w:p w14:paraId="365186B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1C1B69D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val="0"/>
          <w:bCs w:val="0"/>
          <w:color w:val="auto"/>
          <w:sz w:val="24"/>
          <w:szCs w:val="24"/>
        </w:rPr>
        <w:t>投标进口产品的为无效投标</w:t>
      </w:r>
      <w:r>
        <w:rPr>
          <w:rFonts w:hint="eastAsia" w:ascii="宋体" w:hAnsi="宋体" w:eastAsia="宋体" w:cs="宋体"/>
          <w:color w:val="auto"/>
          <w:sz w:val="24"/>
          <w:szCs w:val="24"/>
        </w:rPr>
        <w:t>。在中国境内生产或组装的外国品牌产品须标明该产品在中国国内制造厂商名称。否则，按进口产品对待。</w:t>
      </w:r>
    </w:p>
    <w:p w14:paraId="2558317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 政府采购节能产品、环境标志产品</w:t>
      </w:r>
    </w:p>
    <w:p w14:paraId="182294C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5A49A1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6B7E945">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37D199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5.2.4 非政府强制采购的节能产品或环境标志产品，依据品目清单和认证证书实施政府优先采购。优先采购的具体规定见第三章《评标办法》。</w:t>
      </w:r>
    </w:p>
    <w:p w14:paraId="0D8A291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 正版软件</w:t>
      </w:r>
    </w:p>
    <w:p w14:paraId="4121ED1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24A1D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7E0F2B9">
      <w:pPr>
        <w:spacing w:before="178" w:line="220" w:lineRule="auto"/>
        <w:ind w:left="393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二、招标文件</w:t>
      </w:r>
    </w:p>
    <w:p w14:paraId="5EFE8768">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6、招标文件</w:t>
      </w:r>
    </w:p>
    <w:p w14:paraId="442D6D95">
      <w:pPr>
        <w:spacing w:before="179" w:line="220" w:lineRule="auto"/>
        <w:ind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6.1</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招标文件的构成</w:t>
      </w:r>
    </w:p>
    <w:p w14:paraId="6EF12C6C">
      <w:pPr>
        <w:spacing w:before="179" w:line="220" w:lineRule="auto"/>
        <w:ind w:left="482" w:firstLine="234" w:firstLineChars="100"/>
        <w:outlineLvl w:val="9"/>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第一章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招标公告</w:t>
      </w:r>
    </w:p>
    <w:p w14:paraId="200A469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第二章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投标人须知</w:t>
      </w:r>
    </w:p>
    <w:p w14:paraId="7AA4ECD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第三章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评标办法</w:t>
      </w:r>
    </w:p>
    <w:p w14:paraId="6C2CBDF3">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第四章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合同条款(参考格式)</w:t>
      </w:r>
    </w:p>
    <w:p w14:paraId="641DA820">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第五章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采购需求</w:t>
      </w:r>
    </w:p>
    <w:p w14:paraId="7D7B5C1B">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第六章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投标文件构成及格式</w:t>
      </w:r>
    </w:p>
    <w:p w14:paraId="5CDB718F">
      <w:pPr>
        <w:spacing w:before="227" w:line="468" w:lineRule="exact"/>
        <w:ind w:right="63"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6.2</w:t>
      </w:r>
      <w:r>
        <w:rPr>
          <w:rFonts w:hint="eastAsia" w:ascii="宋体" w:hAnsi="宋体" w:eastAsia="宋体" w:cs="宋体"/>
          <w:color w:val="auto"/>
          <w:spacing w:val="-37"/>
          <w:position w:val="17"/>
          <w:sz w:val="24"/>
          <w:szCs w:val="24"/>
        </w:rPr>
        <w:t xml:space="preserve"> </w:t>
      </w:r>
      <w:r>
        <w:rPr>
          <w:rFonts w:hint="eastAsia" w:ascii="宋体" w:hAnsi="宋体" w:eastAsia="宋体" w:cs="宋体"/>
          <w:color w:val="auto"/>
          <w:spacing w:val="-1"/>
          <w:position w:val="17"/>
          <w:sz w:val="24"/>
          <w:szCs w:val="24"/>
        </w:rPr>
        <w:t>投标人应认真阅读招标文件的全部内容。投标人应按照招标文件要求提交投标文</w:t>
      </w:r>
    </w:p>
    <w:p w14:paraId="74FD77C6">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件并保证所提供的全部资料的真实性，并对招标文件做出实质性响应</w:t>
      </w:r>
      <w:r>
        <w:rPr>
          <w:rFonts w:hint="eastAsia" w:ascii="宋体" w:hAnsi="宋体" w:eastAsia="宋体" w:cs="宋体"/>
          <w:color w:val="auto"/>
          <w:spacing w:val="-1"/>
          <w:sz w:val="24"/>
          <w:szCs w:val="24"/>
        </w:rPr>
        <w:t>，否则</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投标无效。</w:t>
      </w:r>
    </w:p>
    <w:p w14:paraId="4EE56F5C">
      <w:pPr>
        <w:spacing w:before="180"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7、招标文件的澄清和修改</w:t>
      </w:r>
    </w:p>
    <w:p w14:paraId="01D7AE0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6EB2C9DD">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止时间 15 日前，以书面形式通知所有获取招标文件的潜在投标人；不足 15 日的，采购人或者采购代理机构将顺延提交投标文件的截止时间。在这种情况下，采购人、采购代理机构和投标人受投标截止时间制约的所有权利和义务均相应顺延至新的投标截止时间。</w:t>
      </w:r>
    </w:p>
    <w:p w14:paraId="07B5082C">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7.3 本项目不召开答疑会。</w:t>
      </w:r>
    </w:p>
    <w:p w14:paraId="6224D49F">
      <w:pPr>
        <w:spacing w:before="48" w:line="220" w:lineRule="auto"/>
        <w:ind w:left="3925"/>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三、投标文件</w:t>
      </w:r>
    </w:p>
    <w:p w14:paraId="6B68E7CB">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8、投标范围、投标语言及投标文件中计量单位的使用</w:t>
      </w:r>
    </w:p>
    <w:p w14:paraId="7398FB96">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本项目如划分采购包，投标人可以对本项目的其中一个采购包进行投标，也可同</w:t>
      </w:r>
      <w:r>
        <w:rPr>
          <w:rFonts w:hint="eastAsia" w:ascii="宋体" w:hAnsi="宋体" w:eastAsia="宋体" w:cs="宋体"/>
          <w:color w:val="auto"/>
          <w:spacing w:val="-2"/>
          <w:sz w:val="24"/>
          <w:szCs w:val="24"/>
        </w:rPr>
        <w:t>时对多个采购包进行投标。</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求》所列的全部</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购包的投标将被认定</w:t>
      </w:r>
    </w:p>
    <w:p w14:paraId="57DDDE05">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为无效投标</w:t>
      </w:r>
      <w:r>
        <w:rPr>
          <w:rFonts w:hint="eastAsia" w:ascii="宋体" w:hAnsi="宋体" w:eastAsia="宋体" w:cs="宋体"/>
          <w:color w:val="auto"/>
          <w:spacing w:val="-2"/>
          <w:sz w:val="24"/>
          <w:szCs w:val="24"/>
        </w:rPr>
        <w:t>。</w:t>
      </w:r>
    </w:p>
    <w:p w14:paraId="5F89B6AA">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AEC1437">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8.3 除招标文件有特殊要求外，本项目投标所使用的计量单位，应采用中华人民共和国法定计量单位。</w:t>
      </w:r>
    </w:p>
    <w:p w14:paraId="7FAAC507">
      <w:pPr>
        <w:spacing w:before="181" w:line="220" w:lineRule="auto"/>
        <w:outlineLvl w:val="9"/>
        <w:rPr>
          <w:rFonts w:hint="eastAsia" w:ascii="宋体" w:hAnsi="宋体" w:eastAsia="宋体" w:cs="宋体"/>
          <w:color w:val="auto"/>
          <w:sz w:val="24"/>
          <w:szCs w:val="24"/>
        </w:rPr>
      </w:pPr>
      <w:bookmarkStart w:id="32" w:name="_Toc13866"/>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9、投标文件构成</w:t>
      </w:r>
      <w:bookmarkEnd w:id="32"/>
    </w:p>
    <w:p w14:paraId="2E031B79">
      <w:pPr>
        <w:spacing w:before="179" w:line="468" w:lineRule="exact"/>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9.1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投标人应当按照招标文件的要求编制投标文件。投标文件的部分格式要求，见第</w:t>
      </w:r>
    </w:p>
    <w:p w14:paraId="216C5AD9">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六章《投标文件构成及格式》。</w:t>
      </w:r>
    </w:p>
    <w:p w14:paraId="3FEFFF36">
      <w:pPr>
        <w:spacing w:before="180" w:line="220" w:lineRule="auto"/>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9.2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投标文件应编制文件目录，准确标明文件内容所在位置。投标文件应包含但不限</w:t>
      </w:r>
    </w:p>
    <w:p w14:paraId="20FAF365">
      <w:pPr>
        <w:spacing w:before="182" w:line="224"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于：</w:t>
      </w:r>
    </w:p>
    <w:p w14:paraId="0C68682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格式一：开标一览表</w:t>
      </w:r>
    </w:p>
    <w:p w14:paraId="07D96F8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格式二：投标函</w:t>
      </w:r>
    </w:p>
    <w:p w14:paraId="3EC58D2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格式三：投标报价明细表</w:t>
      </w:r>
    </w:p>
    <w:p w14:paraId="158D0E6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格式四：采购需求偏离表</w:t>
      </w:r>
    </w:p>
    <w:p w14:paraId="0467EB8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格式五：售后服务承诺书</w:t>
      </w:r>
    </w:p>
    <w:p w14:paraId="2D090BE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格式六：法定代表人（单位负责人）身份证明</w:t>
      </w:r>
    </w:p>
    <w:p w14:paraId="64ED4D2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格式七：授权委托书</w:t>
      </w:r>
    </w:p>
    <w:p w14:paraId="1095E614">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格式八：中标服务费承诺书</w:t>
      </w:r>
    </w:p>
    <w:p w14:paraId="0A26E25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格式九：中小企业声明函</w:t>
      </w:r>
    </w:p>
    <w:p w14:paraId="51A7A0F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格式十：类似业绩一览表</w:t>
      </w:r>
    </w:p>
    <w:p w14:paraId="4B266B0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格式十一：资格条件承诺函</w:t>
      </w:r>
    </w:p>
    <w:p w14:paraId="6959899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：制造商（境内总代理商）授权书</w:t>
      </w:r>
    </w:p>
    <w:p w14:paraId="73C8971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招标文件要求提供或供应商认为需要提供的其它材料</w:t>
      </w:r>
    </w:p>
    <w:p w14:paraId="63CF891E">
      <w:pPr>
        <w:spacing w:before="180" w:line="220" w:lineRule="auto"/>
        <w:ind w:firstLine="238" w:firstLineChars="1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9.3 第三章《评标办法》中涉及的证明文件。</w:t>
      </w:r>
    </w:p>
    <w:p w14:paraId="6C36D579">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02E7A7F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投标人认为应附的其他材料。</w:t>
      </w:r>
    </w:p>
    <w:p w14:paraId="4E5B2CEB">
      <w:pPr>
        <w:spacing w:before="179"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10、投标报价</w:t>
      </w:r>
    </w:p>
    <w:p w14:paraId="6CC0ADD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 报价原则：所有投标均以人民币报价。</w:t>
      </w:r>
    </w:p>
    <w:p w14:paraId="26BA4CD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 投标人的报价应包括为完成本项目所发生的一切费用和税费，采购人将不再支付报价以外的任何费用。</w:t>
      </w:r>
    </w:p>
    <w:p w14:paraId="3AA8826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A178883">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10.2.2 按照招标文件要求完成本项目的全部相关费用。</w:t>
      </w:r>
    </w:p>
    <w:p w14:paraId="0BD20B0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8547D8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 采购人不得向投标人索要或者接受其给予的赠品、回扣或者与采购无关的其他商品、服务。</w:t>
      </w:r>
    </w:p>
    <w:p w14:paraId="284FB67C">
      <w:pPr>
        <w:spacing w:before="182" w:line="221" w:lineRule="auto"/>
        <w:outlineLvl w:val="9"/>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11、投标保证金</w:t>
      </w:r>
    </w:p>
    <w:p w14:paraId="67DDF829">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形式：以银行出具的现金支票、保兑支票、银行汇票、银行或专业担保公司或保险公司出具的保函、转账、电汇等形式提交；以支票形式提交的投标保证金须从投标单位的基本账户转出。供应商未按照文件要求提交保证金的，响应无效。</w:t>
      </w:r>
    </w:p>
    <w:p w14:paraId="27F023E4">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方式：供应商须在递交响应文件截止时间前将保证金存入指定账户，过期不予受理。逾期未缴纳保证金视为自动放弃投标资格。银行进账单或电汇凭证等凭证上应明确用途、项目名称、联系人及电话，以便核对查实。保证金的确认以最终到账日期为准。</w:t>
      </w:r>
    </w:p>
    <w:p w14:paraId="621D7831">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保证金的金额：¥</w:t>
      </w: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50000</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元</w:t>
      </w:r>
    </w:p>
    <w:p w14:paraId="7D6C44EB">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收款单位：吉林省吉诚工程咨询有限公司</w:t>
      </w:r>
    </w:p>
    <w:p w14:paraId="769652C9">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开户行：长春农村商业银行股份有限公司人民大街支行</w:t>
      </w:r>
    </w:p>
    <w:p w14:paraId="2ECC105E">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账号：0710729011015260066666</w:t>
      </w:r>
    </w:p>
    <w:p w14:paraId="3D72AB60">
      <w:pPr>
        <w:spacing w:before="179" w:line="359" w:lineRule="auto"/>
        <w:ind w:right="81" w:firstLine="476" w:firstLineChars="2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注：依据长财采购【2021】695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号文件的规定，对于满足《中华人民共和国政府采购</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法》第二十二条有关规定，经“信用中国</w:t>
      </w:r>
      <w:r>
        <w:rPr>
          <w:rFonts w:hint="eastAsia" w:ascii="宋体" w:hAnsi="宋体" w:eastAsia="宋体" w:cs="宋体"/>
          <w:color w:val="auto"/>
          <w:spacing w:val="-77"/>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”网站查询不存在行政处罚信息的、诚信记录良</w:t>
      </w:r>
      <w:r>
        <w:rPr>
          <w:rFonts w:hint="eastAsia" w:ascii="宋体" w:hAnsi="宋体" w:eastAsia="宋体" w:cs="宋体"/>
          <w:color w:val="auto"/>
          <w:sz w:val="24"/>
          <w:szCs w:val="24"/>
          <w14:textOutline w14:w="4358" w14:cap="sq" w14:cmpd="sng">
            <w14:solidFill>
              <w14:srgbClr w14:val="000000"/>
            </w14:solidFill>
            <w14:prstDash w14:val="solid"/>
            <w14:bevel/>
          </w14:textOutline>
        </w:rPr>
        <w:t>好的投标人，无需交纳投标保证金。</w:t>
      </w:r>
    </w:p>
    <w:p w14:paraId="2E7D4CF8">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12、投标有效期</w:t>
      </w:r>
    </w:p>
    <w:p w14:paraId="2B15386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0BFB772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59DE4B3C">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13、投标文件的式样和签署</w:t>
      </w:r>
    </w:p>
    <w:p w14:paraId="3BC8E9D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 投标人应按照本须知的要求编制投标文件，逐项逐条响应招标文件并使用下载</w:t>
      </w:r>
    </w:p>
    <w:p w14:paraId="7391ABF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的政采云投标客户端制作并上传</w:t>
      </w:r>
    </w:p>
    <w:p w14:paraId="7C741C8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092B51E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7215114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1AEB834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 评标前准备</w:t>
      </w:r>
    </w:p>
    <w:p w14:paraId="4FF2E86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13.5.1 本项目实行网上评审，采用电子投标文件。</w:t>
      </w:r>
    </w:p>
    <w:p w14:paraId="3AC1F02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0C65671F">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13.5.3 投标人将政采云电子交易客户端下载、安装完成后，可通过登录客户端进行响应文件制作。客户端请至网站下载专区查看，如有问题可拨打政采云客户服务热线95763进行咨询。</w:t>
      </w:r>
    </w:p>
    <w:p w14:paraId="288E6E8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 其他说明</w:t>
      </w:r>
    </w:p>
    <w:p w14:paraId="2BA7933E">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13.6.1 投标人应先安装“政采云投标客户端”（请自行前往政采云平台进行下载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.0.04df4040034511edaac705fda12edb43），通过账号密码或CA登录客户端制作投标文件。</w:t>
      </w:r>
    </w:p>
    <w:p w14:paraId="61C378E5">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 xml:space="preserve">13.6.2 </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position w:val="17"/>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14:textOutline w14:w="4358" w14:cap="sq" w14:cmpd="sng">
            <w14:solidFill>
              <w14:srgbClr w14:val="000000"/>
            </w14:solidFill>
            <w14:prstDash w14:val="solid"/>
            <w14:bevel/>
          </w14:textOutline>
        </w:rPr>
        <w:t>求签署、盖章的，其响应投标无效</w:t>
      </w:r>
      <w:r>
        <w:rPr>
          <w:rFonts w:hint="eastAsia" w:ascii="宋体" w:hAnsi="宋体" w:eastAsia="宋体" w:cs="宋体"/>
          <w:color w:val="auto"/>
          <w:sz w:val="24"/>
          <w:szCs w:val="24"/>
        </w:rPr>
        <w:t>。</w:t>
      </w:r>
    </w:p>
    <w:p w14:paraId="1550E446">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170" w:firstLine="476" w:firstLineChars="200"/>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13.6.3 为确保网上操作合法、有效和安全，投标人应当在投标文件递交截止时间前</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完成在政采云平台的身份认证，确保在电子投标过程中能够对相关数据电文进行加密和使用电子签名。</w:t>
      </w:r>
    </w:p>
    <w:p w14:paraId="2B258825">
      <w:pPr>
        <w:spacing w:before="48" w:line="359" w:lineRule="auto"/>
        <w:ind w:left="1" w:right="230" w:firstLine="495"/>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13.6.4 </w:t>
      </w:r>
      <w:r>
        <w:rPr>
          <w:rFonts w:hint="eastAsia" w:ascii="宋体" w:hAnsi="宋体" w:eastAsia="宋体" w:cs="宋体"/>
          <w:color w:val="auto"/>
          <w:sz w:val="24"/>
          <w:szCs w:val="24"/>
          <w14:textOutline w14:w="4358" w14:cap="sq" w14:cmpd="sng">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否则作无效投标处理</w:t>
      </w:r>
      <w:r>
        <w:rPr>
          <w:rFonts w:hint="eastAsia" w:ascii="宋体" w:hAnsi="宋体" w:eastAsia="宋体" w:cs="宋体"/>
          <w:color w:val="auto"/>
          <w:spacing w:val="-1"/>
          <w:sz w:val="24"/>
          <w:szCs w:val="24"/>
        </w:rPr>
        <w:t>。</w:t>
      </w:r>
    </w:p>
    <w:p w14:paraId="782F9FC6">
      <w:pPr>
        <w:spacing w:before="181" w:line="220" w:lineRule="auto"/>
        <w:outlineLvl w:val="9"/>
        <w:rPr>
          <w:rFonts w:hint="eastAsia" w:ascii="宋体" w:hAnsi="宋体" w:eastAsia="宋体" w:cs="宋体"/>
          <w:color w:val="auto"/>
          <w:sz w:val="24"/>
          <w:szCs w:val="24"/>
        </w:rPr>
      </w:pPr>
      <w:bookmarkStart w:id="33" w:name="_Toc12487"/>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14、投标文件的修改和撤回</w:t>
      </w:r>
      <w:bookmarkEnd w:id="33"/>
    </w:p>
    <w:p w14:paraId="51D0A68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）将拒收。</w:t>
      </w:r>
    </w:p>
    <w:p w14:paraId="51007EE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在投标文件提交截止时间前，除投标人补充、修改或者撤回投标文件外，任何</w:t>
      </w:r>
    </w:p>
    <w:p w14:paraId="6176C75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单位和个人不得解密或提取投标文件。</w:t>
      </w:r>
    </w:p>
    <w:p w14:paraId="5603160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 在投标截止时间（开标时间）之后，投标人不得对其投标文件做任何修改。</w:t>
      </w:r>
    </w:p>
    <w:p w14:paraId="766CF62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14.4 从开标之时起，至投标有效期期满之间的这段时间内，投标人不得撤回其投标，否则根据投标人须知第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0.6条的规定，其投标保证金将被没收。与其他投标人恶意串通而撤回投标的，按照《中华人民共和国政府采购法》第七十七条的规定处理。</w:t>
      </w:r>
    </w:p>
    <w:p w14:paraId="7AA4ECF2">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15、投标</w:t>
      </w:r>
    </w:p>
    <w:p w14:paraId="372741B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15.1</w:t>
      </w:r>
      <w:r>
        <w:rPr>
          <w:rFonts w:hint="eastAsia" w:ascii="宋体" w:hAnsi="宋体" w:eastAsia="宋体" w:cs="宋体"/>
          <w:color w:val="auto"/>
          <w:sz w:val="24"/>
          <w:szCs w:val="24"/>
        </w:rPr>
        <w:t>本项目开标方式为远程开标，供应商不到现场。供应商</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时，需携带制作</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文件时用来加密的有效数字证书（CA认证）登录“政采云”平台电子开标大厅现场按规定时间对加密的响应文件进行解密。</w:t>
      </w:r>
    </w:p>
    <w:p w14:paraId="0EB57BF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15.2</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文件和“政采云”平台的要求编制、加密后在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文件提交截止时间前通过网络上传至“政采云”平台，供应商在“政采云”平台提交电子版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文件时，请填写参加开标活动经办人联系方式。</w:t>
      </w:r>
    </w:p>
    <w:p w14:paraId="3C7130C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15.3</w:t>
      </w:r>
      <w:r>
        <w:rPr>
          <w:rFonts w:hint="eastAsia" w:ascii="宋体" w:hAnsi="宋体" w:eastAsia="宋体" w:cs="宋体"/>
          <w:b/>
          <w:bCs/>
          <w:color w:val="auto"/>
          <w:sz w:val="24"/>
          <w:szCs w:val="24"/>
          <w:highlight w:val="none"/>
          <w:lang w:val="en-US" w:eastAsia="zh-CN"/>
        </w:rPr>
        <w:t>※开标结束后三小时内供应商须将响应文件纸质版（一正二副）、电子版U盘2份递交至吉林省吉诚工程咨询有限公司（长春市绿园区吾悦广场B座15楼1536室）用于项目存档使用（若未及时递交纸质版文件，所造成的后果自行承担）。</w:t>
      </w:r>
      <w:r>
        <w:rPr>
          <w:rFonts w:hint="eastAsia" w:ascii="宋体" w:hAnsi="宋体" w:eastAsia="宋体" w:cs="宋体"/>
          <w:color w:val="auto"/>
          <w:sz w:val="24"/>
          <w:szCs w:val="24"/>
        </w:rPr>
        <w:t>纸质版及电子版应与上传的加密文件一致。采用书册方式胶装，装订应牢固、整齐便于保管和利用，不易拆散和换页，不得采用活页装订。建议正反面打印装订。</w:t>
      </w:r>
    </w:p>
    <w:p w14:paraId="20F23FEB">
      <w:pPr>
        <w:spacing w:before="189" w:line="220" w:lineRule="auto"/>
        <w:ind w:left="310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四、开标、资格性审查及评标</w:t>
      </w:r>
    </w:p>
    <w:p w14:paraId="15942045">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16、开标</w:t>
      </w:r>
    </w:p>
    <w:p w14:paraId="027F226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采购代理机构将在</w:t>
      </w:r>
      <w:r>
        <w:rPr>
          <w:rFonts w:hint="eastAsia" w:ascii="宋体" w:hAnsi="宋体" w:eastAsia="宋体" w:cs="宋体"/>
          <w:color w:val="auto"/>
          <w:sz w:val="24"/>
          <w:szCs w:val="24"/>
          <w:lang w:eastAsia="zh-CN"/>
        </w:rPr>
        <w:t>招标公告</w:t>
      </w:r>
      <w:r>
        <w:rPr>
          <w:rFonts w:hint="eastAsia" w:ascii="宋体" w:hAnsi="宋体" w:eastAsia="宋体" w:cs="宋体"/>
          <w:color w:val="auto"/>
          <w:sz w:val="24"/>
          <w:szCs w:val="24"/>
        </w:rPr>
        <w:t>中规定的时间和地点组织公开开标，邀请投标人线</w:t>
      </w:r>
    </w:p>
    <w:p w14:paraId="4D3D7F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上通过政采云平台参加。</w:t>
      </w:r>
    </w:p>
    <w:p w14:paraId="67D3321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开标会由采购代理机构组织并主持。本项目开标使用政采云平台（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00011FA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16.3 投标人不足3家的，不开标。</w:t>
      </w:r>
    </w:p>
    <w:p w14:paraId="111DD49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16.4 开标过程将使用政采云平台（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）宣布投标人名称、投标价格和招标文件规定的需要宣布的其他内容并进行记录，并由参加开标的各投标人确认。投标人未在规定时间内确认一览表的，视同认可开标结果。</w:t>
      </w:r>
    </w:p>
    <w:p w14:paraId="4AA73D8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16.5 按照规定，提交了可接受的“撤回”通知的投标将不予开封。撤回的投标文件将原封退回投标人。</w:t>
      </w:r>
    </w:p>
    <w:p w14:paraId="1AC03CD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20C6A40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16.7 开标时有下列情形之一的，采购人有权宣布本项目废标：</w:t>
      </w:r>
    </w:p>
    <w:p w14:paraId="2B385B7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（1）交货期/合同履行期限符合招标文件要求的投标人不足三家的；</w:t>
      </w:r>
    </w:p>
    <w:p w14:paraId="415A4E0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（2）所有投标人的报价均超过采购项目预算，采购人不能支付的。</w:t>
      </w:r>
    </w:p>
    <w:p w14:paraId="51B37B9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 投标文件解密</w:t>
      </w:r>
    </w:p>
    <w:p w14:paraId="2F6671F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16.8.1 投标人应当在招标文件规定的投标文件解密时间内对已上传的加密投标文件进行现场解密。如无特殊情况，解密工作须在投标截止时间后 30 分钟内完成。</w:t>
      </w:r>
    </w:p>
    <w:p w14:paraId="6F9BADB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16.8.2 投标人授权代表解密时应当使用制作加密电子投标文件的同一把数字证书对已上传的投标文件进行解密。</w:t>
      </w:r>
    </w:p>
    <w:p w14:paraId="14991B9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16.8.3 </w:t>
      </w:r>
      <w:r>
        <w:rPr>
          <w:rFonts w:hint="eastAsia" w:ascii="宋体" w:hAnsi="宋体" w:eastAsia="宋体" w:cs="宋体"/>
          <w:b/>
          <w:bCs/>
          <w:color w:val="auto"/>
          <w:sz w:val="24"/>
          <w:szCs w:val="24"/>
        </w:rPr>
        <w:t>因投标人自身原因，逾期未能成功解密的，视为逾期未提交投标文件，其投标无效。</w:t>
      </w:r>
    </w:p>
    <w:p w14:paraId="0EB3DE72">
      <w:pPr>
        <w:spacing w:before="181" w:line="220" w:lineRule="auto"/>
        <w:ind w:left="669"/>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17、资格性审查</w:t>
      </w:r>
    </w:p>
    <w:p w14:paraId="1C3F9FCF">
      <w:pPr>
        <w:spacing w:before="180" w:line="468" w:lineRule="exact"/>
        <w:ind w:firstLine="244"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17.1</w:t>
      </w:r>
      <w:r>
        <w:rPr>
          <w:rFonts w:hint="eastAsia" w:ascii="宋体" w:hAnsi="宋体" w:eastAsia="宋体" w:cs="宋体"/>
          <w:color w:val="auto"/>
          <w:spacing w:val="-45"/>
          <w:position w:val="17"/>
          <w:sz w:val="24"/>
          <w:szCs w:val="24"/>
        </w:rPr>
        <w:t xml:space="preserve"> </w:t>
      </w:r>
      <w:r>
        <w:rPr>
          <w:rFonts w:hint="eastAsia" w:ascii="宋体" w:hAnsi="宋体" w:eastAsia="宋体" w:cs="宋体"/>
          <w:color w:val="auto"/>
          <w:spacing w:val="2"/>
          <w:position w:val="17"/>
          <w:sz w:val="24"/>
          <w:szCs w:val="24"/>
        </w:rPr>
        <w:t>开标结束后，采购人将依法对投标人的资格进行审查，并详细填写下表。合格</w:t>
      </w:r>
    </w:p>
    <w:p w14:paraId="3F38DE35">
      <w:pPr>
        <w:spacing w:before="1" w:line="220" w:lineRule="auto"/>
        <w:ind w:left="17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投标人不足</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家的，不进行评标。</w:t>
      </w:r>
    </w:p>
    <w:p w14:paraId="10B5AFB6">
      <w:pPr>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br w:type="page"/>
      </w:r>
    </w:p>
    <w:p w14:paraId="10F4AAD3">
      <w:pPr>
        <w:keepNext w:val="0"/>
        <w:keepLines w:val="0"/>
        <w:pageBreakBefore w:val="0"/>
        <w:widowControl/>
        <w:kinsoku w:val="0"/>
        <w:wordWrap/>
        <w:overflowPunct/>
        <w:topLinePunct w:val="0"/>
        <w:autoSpaceDE w:val="0"/>
        <w:autoSpaceDN w:val="0"/>
        <w:bidi w:val="0"/>
        <w:adjustRightInd w:val="0"/>
        <w:snapToGrid w:val="0"/>
        <w:spacing w:before="178" w:after="0" w:afterLines="50" w:line="221" w:lineRule="auto"/>
        <w:jc w:val="center"/>
        <w:textAlignment w:val="baseline"/>
        <w:outlineLvl w:val="9"/>
        <w:rPr>
          <w:rFonts w:hint="eastAsia" w:ascii="宋体" w:hAnsi="宋体" w:eastAsia="宋体" w:cs="宋体"/>
          <w:b/>
          <w:bCs/>
          <w:color w:val="auto"/>
          <w:spacing w:val="-4"/>
          <w:sz w:val="28"/>
          <w:szCs w:val="28"/>
          <w:lang w:eastAsia="zh-CN"/>
        </w:rPr>
      </w:pPr>
      <w:r>
        <w:rPr>
          <w:rFonts w:hint="eastAsia" w:ascii="宋体" w:hAnsi="宋体" w:eastAsia="宋体" w:cs="宋体"/>
          <w:b/>
          <w:bCs/>
          <w:color w:val="auto"/>
          <w:spacing w:val="-4"/>
          <w:sz w:val="28"/>
          <w:szCs w:val="28"/>
        </w:rPr>
        <w:t>资格性审查表</w:t>
      </w:r>
    </w:p>
    <w:tbl>
      <w:tblPr>
        <w:tblStyle w:val="13"/>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3700"/>
        <w:gridCol w:w="3819"/>
      </w:tblGrid>
      <w:tr w14:paraId="0DD7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2035F7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序号</w:t>
            </w:r>
          </w:p>
        </w:tc>
        <w:tc>
          <w:tcPr>
            <w:tcW w:w="1324" w:type="dxa"/>
            <w:vAlign w:val="center"/>
          </w:tcPr>
          <w:p w14:paraId="610073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类型</w:t>
            </w:r>
          </w:p>
        </w:tc>
        <w:tc>
          <w:tcPr>
            <w:tcW w:w="3700" w:type="dxa"/>
            <w:vAlign w:val="center"/>
          </w:tcPr>
          <w:p w14:paraId="119ECBD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审查内容</w:t>
            </w:r>
          </w:p>
        </w:tc>
        <w:tc>
          <w:tcPr>
            <w:tcW w:w="3819" w:type="dxa"/>
            <w:vAlign w:val="center"/>
          </w:tcPr>
          <w:p w14:paraId="2F874C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3"/>
                <w:sz w:val="24"/>
                <w:szCs w:val="24"/>
              </w:rPr>
              <w:t>要求说明</w:t>
            </w:r>
          </w:p>
        </w:tc>
      </w:tr>
      <w:tr w14:paraId="7582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092B1E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1</w:t>
            </w:r>
          </w:p>
        </w:tc>
        <w:tc>
          <w:tcPr>
            <w:tcW w:w="1324" w:type="dxa"/>
            <w:vAlign w:val="center"/>
          </w:tcPr>
          <w:p w14:paraId="2F0B98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基本资质1</w:t>
            </w:r>
          </w:p>
        </w:tc>
        <w:tc>
          <w:tcPr>
            <w:tcW w:w="3700" w:type="dxa"/>
            <w:vAlign w:val="center"/>
          </w:tcPr>
          <w:p w14:paraId="23D24DC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具有独立承担民事责任的能力。</w:t>
            </w:r>
          </w:p>
        </w:tc>
        <w:tc>
          <w:tcPr>
            <w:tcW w:w="3819" w:type="dxa"/>
            <w:vAlign w:val="center"/>
          </w:tcPr>
          <w:p w14:paraId="6CC6F22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投标人为企业（包括合伙企业）的，应提供有效的“营业执照”；</w:t>
            </w:r>
          </w:p>
          <w:p w14:paraId="1F08319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投标人为事业单位的，应提供有效的“事业单位法人证书”；</w:t>
            </w:r>
          </w:p>
          <w:p w14:paraId="012AA67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投标人是非企业机构的，应提供有效的“执业许可证”、“登记证书”等证明文件；</w:t>
            </w:r>
          </w:p>
          <w:p w14:paraId="449F2FA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投标人是个体工商户的，应提供有效的“个体工商户营业执照”；</w:t>
            </w:r>
          </w:p>
          <w:p w14:paraId="63C2D67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投标人是自然人的，应提供有效的自然人身份证明。</w:t>
            </w:r>
          </w:p>
        </w:tc>
      </w:tr>
      <w:tr w14:paraId="3770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3DF8B7B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2</w:t>
            </w:r>
          </w:p>
        </w:tc>
        <w:tc>
          <w:tcPr>
            <w:tcW w:w="1324" w:type="dxa"/>
            <w:vAlign w:val="center"/>
          </w:tcPr>
          <w:p w14:paraId="5D0726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2</w:t>
            </w:r>
          </w:p>
        </w:tc>
        <w:tc>
          <w:tcPr>
            <w:tcW w:w="3700" w:type="dxa"/>
            <w:vAlign w:val="center"/>
          </w:tcPr>
          <w:p w14:paraId="7D9DD7C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z w:val="24"/>
                <w:szCs w:val="24"/>
                <w:highlight w:val="none"/>
                <w:lang w:val="en-US"/>
              </w:rPr>
              <w:t>具有良好的商业信誉和健全的财务会计制度</w:t>
            </w:r>
            <w:r>
              <w:rPr>
                <w:rFonts w:hint="eastAsia" w:ascii="宋体" w:hAnsi="宋体" w:eastAsia="宋体" w:cs="宋体"/>
                <w:color w:val="auto"/>
                <w:sz w:val="24"/>
                <w:szCs w:val="24"/>
                <w:highlight w:val="none"/>
                <w:lang w:val="en-US" w:eastAsia="zh-CN"/>
              </w:rPr>
              <w:t>、具有依法缴纳税收和社会保障资金的良好记录。</w:t>
            </w:r>
          </w:p>
        </w:tc>
        <w:tc>
          <w:tcPr>
            <w:tcW w:w="3819" w:type="dxa"/>
            <w:vAlign w:val="center"/>
          </w:tcPr>
          <w:p w14:paraId="41F9794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提供资格条件承诺函</w:t>
            </w:r>
          </w:p>
        </w:tc>
      </w:tr>
      <w:tr w14:paraId="7513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58EA2B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3</w:t>
            </w:r>
          </w:p>
        </w:tc>
        <w:tc>
          <w:tcPr>
            <w:tcW w:w="1324" w:type="dxa"/>
            <w:vAlign w:val="center"/>
          </w:tcPr>
          <w:p w14:paraId="4A06D0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3</w:t>
            </w:r>
          </w:p>
        </w:tc>
        <w:tc>
          <w:tcPr>
            <w:tcW w:w="3700" w:type="dxa"/>
            <w:vAlign w:val="center"/>
          </w:tcPr>
          <w:p w14:paraId="7C5E3D5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tc>
        <w:tc>
          <w:tcPr>
            <w:tcW w:w="3819" w:type="dxa"/>
            <w:vAlign w:val="center"/>
          </w:tcPr>
          <w:p w14:paraId="6B32CDF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提供承诺书及相关网站截图，格式自拟</w:t>
            </w:r>
          </w:p>
        </w:tc>
      </w:tr>
      <w:tr w14:paraId="4C0D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445B8B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4</w:t>
            </w:r>
          </w:p>
        </w:tc>
        <w:tc>
          <w:tcPr>
            <w:tcW w:w="1324" w:type="dxa"/>
            <w:vAlign w:val="center"/>
          </w:tcPr>
          <w:p w14:paraId="34A148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4</w:t>
            </w:r>
          </w:p>
        </w:tc>
        <w:tc>
          <w:tcPr>
            <w:tcW w:w="3700" w:type="dxa"/>
            <w:vAlign w:val="center"/>
          </w:tcPr>
          <w:p w14:paraId="148299C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tc>
        <w:tc>
          <w:tcPr>
            <w:tcW w:w="3819" w:type="dxa"/>
            <w:vAlign w:val="center"/>
          </w:tcPr>
          <w:p w14:paraId="5DF8284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提供书面声明，格式自拟</w:t>
            </w:r>
          </w:p>
        </w:tc>
      </w:tr>
      <w:tr w14:paraId="5FD3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E4A0A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5</w:t>
            </w:r>
          </w:p>
        </w:tc>
        <w:tc>
          <w:tcPr>
            <w:tcW w:w="1324" w:type="dxa"/>
            <w:vAlign w:val="center"/>
          </w:tcPr>
          <w:p w14:paraId="47EE6C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5</w:t>
            </w:r>
          </w:p>
        </w:tc>
        <w:tc>
          <w:tcPr>
            <w:tcW w:w="3700" w:type="dxa"/>
            <w:vAlign w:val="center"/>
          </w:tcPr>
          <w:p w14:paraId="132B9D5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不接受联合体投标</w:t>
            </w:r>
          </w:p>
        </w:tc>
        <w:tc>
          <w:tcPr>
            <w:tcW w:w="3819" w:type="dxa"/>
            <w:vAlign w:val="center"/>
          </w:tcPr>
          <w:p w14:paraId="2562BE8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非联合体投标</w:t>
            </w:r>
          </w:p>
        </w:tc>
      </w:tr>
      <w:tr w14:paraId="69A2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7B0465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6</w:t>
            </w:r>
          </w:p>
        </w:tc>
        <w:tc>
          <w:tcPr>
            <w:tcW w:w="1324" w:type="dxa"/>
            <w:vAlign w:val="center"/>
          </w:tcPr>
          <w:p w14:paraId="49B7E0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6</w:t>
            </w:r>
          </w:p>
        </w:tc>
        <w:tc>
          <w:tcPr>
            <w:tcW w:w="3700" w:type="dxa"/>
            <w:vAlign w:val="center"/>
          </w:tcPr>
          <w:p w14:paraId="29F84F9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本项目特定的资格要求的证明材料</w:t>
            </w:r>
          </w:p>
        </w:tc>
        <w:tc>
          <w:tcPr>
            <w:tcW w:w="3819" w:type="dxa"/>
            <w:vAlign w:val="center"/>
          </w:tcPr>
          <w:p w14:paraId="221C47C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6178BBF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2.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25DCE5B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3.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tc>
      </w:tr>
      <w:tr w14:paraId="5B79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FEEAB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7</w:t>
            </w:r>
          </w:p>
        </w:tc>
        <w:tc>
          <w:tcPr>
            <w:tcW w:w="1324" w:type="dxa"/>
            <w:vAlign w:val="center"/>
          </w:tcPr>
          <w:p w14:paraId="2455EE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7</w:t>
            </w:r>
          </w:p>
        </w:tc>
        <w:tc>
          <w:tcPr>
            <w:tcW w:w="3700" w:type="dxa"/>
            <w:vAlign w:val="center"/>
          </w:tcPr>
          <w:p w14:paraId="41CCA34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按招标文件中的要求提交了投标保证金，保证金金额和形式符合招标文件要求</w:t>
            </w:r>
          </w:p>
        </w:tc>
        <w:tc>
          <w:tcPr>
            <w:tcW w:w="3819" w:type="dxa"/>
            <w:vAlign w:val="center"/>
          </w:tcPr>
          <w:p w14:paraId="38B4E91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注：依据长财采购【2021】695号文件的规定，对于满足《中华人民共和国政府采购法》第二十二条有关规定，经“信用中国”网站查询不存在行政处罚信息的、诚信记录良好的投标人，无需交纳投标保证金。</w:t>
            </w:r>
          </w:p>
        </w:tc>
      </w:tr>
    </w:tbl>
    <w:p w14:paraId="6AB88C8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w:t>
      </w:r>
    </w:p>
    <w:p w14:paraId="0779C3B0">
      <w:pPr>
        <w:bidi w:val="0"/>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57E940EF">
      <w:pPr>
        <w:bidi w:val="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18、评标过程的保密性</w:t>
      </w:r>
    </w:p>
    <w:p w14:paraId="2981C993">
      <w:pPr>
        <w:spacing w:before="178" w:line="360" w:lineRule="auto"/>
        <w:ind w:right="159" w:firstLine="244"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18.1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2"/>
          <w:sz w:val="24"/>
          <w:szCs w:val="24"/>
        </w:rPr>
        <w:t>公开开标后，直至向中标的投标人授予合同时止，除按招标文件</w:t>
      </w:r>
      <w:r>
        <w:rPr>
          <w:rFonts w:hint="eastAsia" w:ascii="宋体" w:hAnsi="宋体" w:eastAsia="宋体" w:cs="宋体"/>
          <w:color w:val="auto"/>
          <w:spacing w:val="1"/>
          <w:sz w:val="24"/>
          <w:szCs w:val="24"/>
        </w:rPr>
        <w:t>规定予以公开</w:t>
      </w:r>
      <w:r>
        <w:rPr>
          <w:rFonts w:hint="eastAsia" w:ascii="宋体" w:hAnsi="宋体" w:eastAsia="宋体" w:cs="宋体"/>
          <w:color w:val="auto"/>
          <w:spacing w:val="-2"/>
          <w:sz w:val="24"/>
          <w:szCs w:val="24"/>
        </w:rPr>
        <w:t>的评标结果外，凡与审查、澄清、评价和比较投标有关</w:t>
      </w:r>
      <w:r>
        <w:rPr>
          <w:rFonts w:hint="eastAsia" w:ascii="宋体" w:hAnsi="宋体" w:eastAsia="宋体" w:cs="宋体"/>
          <w:color w:val="auto"/>
          <w:spacing w:val="-3"/>
          <w:sz w:val="24"/>
          <w:szCs w:val="24"/>
        </w:rPr>
        <w:t>的资料以及授标意见等，均不得向</w:t>
      </w:r>
      <w:r>
        <w:rPr>
          <w:rFonts w:hint="eastAsia" w:ascii="宋体" w:hAnsi="宋体" w:eastAsia="宋体" w:cs="宋体"/>
          <w:color w:val="auto"/>
          <w:spacing w:val="-1"/>
          <w:sz w:val="24"/>
          <w:szCs w:val="24"/>
        </w:rPr>
        <w:t>投标人及与评标无关的其他人透露。</w:t>
      </w:r>
    </w:p>
    <w:p w14:paraId="25010B27">
      <w:pPr>
        <w:spacing w:before="178"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19、评标</w:t>
      </w:r>
    </w:p>
    <w:p w14:paraId="6855F09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采购代理机构负责组织评标工作，并履行下列职责：</w:t>
      </w:r>
    </w:p>
    <w:p w14:paraId="0C7BA93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核对评审专家身份和采购人代表授权函，对评审专家在政府采购活动中的职责履行情况予以记录，并及时将有关违法违规行为向财政部门报告；</w:t>
      </w:r>
    </w:p>
    <w:p w14:paraId="752F564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宣布评标纪律；</w:t>
      </w:r>
    </w:p>
    <w:p w14:paraId="6318841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公布投标人名单，告知评审专家应当回避的情形；</w:t>
      </w:r>
    </w:p>
    <w:p w14:paraId="125F7127">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组织评标委员会推选评标组长，采购人代表不得担任组长；</w:t>
      </w:r>
    </w:p>
    <w:p w14:paraId="46854C0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在评标期间采取必要的通讯管理措施，保证评标活动不受外界干扰；</w:t>
      </w:r>
    </w:p>
    <w:p w14:paraId="2ED02FD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根据评标委员会的要求介绍政府采购相关政策法规、招标文件；</w:t>
      </w:r>
    </w:p>
    <w:p w14:paraId="4C74DF5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维护评标秩序，监督评标委员会依照招标文件规定的评标程序、方法和标准进行独立评审，及时制止和纠正采购人代表、评审专家的倾向性言论或者违法违规行为；</w:t>
      </w:r>
    </w:p>
    <w:p w14:paraId="5685287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评标委员会根据有关法律法规和招标文件规定的方法和标准独立评标，负责完成评标的全过程直至评定预中标人。招标代理机构只负责评标组织工作，不参加评标。</w:t>
      </w:r>
    </w:p>
    <w:p w14:paraId="6354557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6B872B9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处理与评标有关的其他事项。</w:t>
      </w:r>
    </w:p>
    <w:p w14:paraId="07197B95">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 采购人可以在评标前说明项目背景和采购需求，说明内容不得含有歧视性、倾向性意见，不得超出招标文件所述范围。说明应当提交书面材料，并随采购文件一并存。</w:t>
      </w:r>
    </w:p>
    <w:p w14:paraId="651E531B">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6BC5613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19.4 采购项目符合下列情形之一的，评标委员会成员人数应当为 7 人以上单数：</w:t>
      </w:r>
    </w:p>
    <w:p w14:paraId="4881BA3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（一）采购预算金额在 1000 万元以上；</w:t>
      </w:r>
    </w:p>
    <w:p w14:paraId="187EFD9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（二）技术复杂；</w:t>
      </w:r>
    </w:p>
    <w:p w14:paraId="7059CEB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（三）社会影响较大。</w:t>
      </w:r>
    </w:p>
    <w:p w14:paraId="3851A7A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19.5 评标委员会负责具体评标事物，并独立履行下列职责：</w:t>
      </w:r>
    </w:p>
    <w:p w14:paraId="1FFACCB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（一）审查、评价投标文件是否符合招标文件的商务、技术等实质性要求；</w:t>
      </w:r>
    </w:p>
    <w:p w14:paraId="3D1375E3">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（二）要求投标人对投标文件有关事项作出澄清或者说明；</w:t>
      </w:r>
    </w:p>
    <w:p w14:paraId="1301A27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（三）对投标文件进行比较和评价；</w:t>
      </w:r>
    </w:p>
    <w:p w14:paraId="2886AB4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（四）确定中标候选人名单；</w:t>
      </w:r>
    </w:p>
    <w:p w14:paraId="74276F8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（五）向采购人、采购代理机构或者有关部门报告评标中发现的违法行为。</w:t>
      </w:r>
    </w:p>
    <w:p w14:paraId="7FEE023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19.6 评标委员会对投标文件的判定，只依据投标文件内容本身，不依据任何外来证明。</w:t>
      </w:r>
    </w:p>
    <w:p w14:paraId="288D8361">
      <w:pPr>
        <w:spacing w:before="181" w:line="221" w:lineRule="auto"/>
        <w:ind w:left="392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五、确定中标</w:t>
      </w:r>
    </w:p>
    <w:p w14:paraId="56F3A418">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20、中标</w:t>
      </w:r>
    </w:p>
    <w:p w14:paraId="40C052B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 采购代理机构将在评标结束后2个工作日内将评标报告送采购人。</w:t>
      </w:r>
    </w:p>
    <w:p w14:paraId="079679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 采购人将自收到评标报告之日起5个工作日内，在评标报告确定的中标候选人名单中按顺序确定中标人。中标候选人并列的，采购人将采取随机抽取的方式确定。</w:t>
      </w:r>
    </w:p>
    <w:p w14:paraId="605B76E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 采购人在收到评标报告 5 个工作日内未按评标报告推荐的中标候选人顺序确定中标人，又不能说明合法理由的，视同按评标报告推荐的顺序确定排名第一的中标候选人为中标人。</w:t>
      </w:r>
    </w:p>
    <w:p w14:paraId="1866D00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 采购代理机构将自中标人确定之日起 2 个工作日内，在市级政府采购媒介上公告中标结果，招标文件应当随中标结果同时公告。中标公告期限为 1 个工作日。</w:t>
      </w:r>
    </w:p>
    <w:p w14:paraId="39E8734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20.5 在公告中标结果的同时，采购代理机构向中标人发出中标通知书；对未通过资格审查的投标人，将告知其未通过的原因；采用综合评分法评审的，还将告知未中标人本人的评审得分与排序。</w:t>
      </w:r>
    </w:p>
    <w:p w14:paraId="293AC355">
      <w:pPr>
        <w:spacing w:before="182" w:line="222"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21、签订合同</w:t>
      </w:r>
    </w:p>
    <w:p w14:paraId="22E2046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 中标通知书发出后，采购人不得违法改变中标结果，中标人无正当理由不得放弃中标。</w:t>
      </w:r>
    </w:p>
    <w:p w14:paraId="72863E5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 采购人应当自中标通知书发出之日起 30 日内，按照招标文件和中标人投标文件的规定，与中标人签订书面合同。所签订的合同不得对招标文件确定的事项和中标人投标文件作实质性修改。</w:t>
      </w:r>
    </w:p>
    <w:p w14:paraId="3BBC2FE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 采购人不得向中标人提出任何不合理的要求作为签订合同的条件。</w:t>
      </w:r>
    </w:p>
    <w:p w14:paraId="7E6635A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21.4 中标人拒绝与采购人签订合同的，采购人可以按照评标报告推荐的中标候选人名单排序，确定下一候选人为中标人，也可以重新开展政府采购活动。</w:t>
      </w:r>
    </w:p>
    <w:p w14:paraId="5AC58E0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39E9873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67BF329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21.7 政府采购合同不能转包。</w:t>
      </w:r>
    </w:p>
    <w:p w14:paraId="376D29E8">
      <w:pPr>
        <w:spacing w:before="180"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22、保密和披露</w:t>
      </w:r>
    </w:p>
    <w:p w14:paraId="588BAEC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 投标人自购买招标文件之日起，须承诺承担本招标项目下的保密义务，不得将因本次招标获得的信息向第三人外传。</w:t>
      </w:r>
    </w:p>
    <w:p w14:paraId="29A195A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22.2采购人有权将投标人提供的所有资料向其他政府部门或有关的非政府机构负责评审标书的人员或与评标有关的人员披露。</w:t>
      </w:r>
    </w:p>
    <w:p w14:paraId="1F1836F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66E7490">
      <w:pPr>
        <w:numPr>
          <w:ilvl w:val="0"/>
          <w:numId w:val="0"/>
        </w:numPr>
        <w:spacing w:before="181" w:line="221" w:lineRule="auto"/>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23、</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质疑和投诉</w:t>
      </w:r>
    </w:p>
    <w:p w14:paraId="27CCD3A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Pr>
          <w:rFonts w:hint="eastAsia" w:ascii="宋体" w:hAnsi="宋体" w:eastAsia="宋体" w:cs="宋体"/>
          <w:color w:val="auto"/>
          <w:sz w:val="24"/>
          <w:szCs w:val="24"/>
          <w:lang w:eastAsia="zh-CN"/>
        </w:rPr>
        <w:t>曹健</w:t>
      </w:r>
      <w:r>
        <w:rPr>
          <w:rFonts w:hint="eastAsia" w:ascii="宋体" w:hAnsi="宋体" w:eastAsia="宋体" w:cs="宋体"/>
          <w:color w:val="auto"/>
          <w:sz w:val="24"/>
          <w:szCs w:val="24"/>
        </w:rPr>
        <w:t>、0431-81336999）投标人对采购人的质疑答复不满意或者采购人未在规定时间内作出答复的，可以在答复期满后十五个工作日内向同级采购监管部门投诉。</w:t>
      </w:r>
    </w:p>
    <w:p w14:paraId="79F9A1B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23.2 质疑书、投诉书均应明确阐述招标文件、招标过程和中标结果中使自己合法权益受到损害的实质性内容，提供相关事实、依据和证据及其来源或线索，便于有关单位调查、答复和处理。</w:t>
      </w:r>
    </w:p>
    <w:p w14:paraId="661373D2">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24、中标服务费</w:t>
      </w:r>
    </w:p>
    <w:p w14:paraId="1D29648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供应商支付</w:t>
      </w:r>
      <w:r>
        <w:rPr>
          <w:rFonts w:hint="eastAsia" w:ascii="宋体" w:hAnsi="宋体" w:eastAsia="宋体" w:cs="宋体"/>
          <w:color w:val="auto"/>
          <w:sz w:val="24"/>
          <w:szCs w:val="24"/>
          <w:lang w:eastAsia="zh-CN"/>
        </w:rPr>
        <w:t>中标金额的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p w14:paraId="3146BD3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收款人：吉林省吉诚工程咨询有限公司</w:t>
      </w:r>
    </w:p>
    <w:p w14:paraId="6C80C4F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行：长春农村商业银行股份有限公司人民大街支行</w:t>
      </w:r>
    </w:p>
    <w:p w14:paraId="6B9ABE8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号：0710729011015260066666</w:t>
      </w:r>
    </w:p>
    <w:p w14:paraId="3B73AE8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FEB2A75">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32"/>
        </w:rPr>
      </w:pPr>
      <w:bookmarkStart w:id="34" w:name="_Toc1701"/>
      <w:bookmarkStart w:id="35" w:name="_Toc26230"/>
      <w:r>
        <w:rPr>
          <w:rFonts w:hint="eastAsia"/>
          <w:color w:val="auto"/>
          <w:sz w:val="32"/>
          <w:szCs w:val="32"/>
        </w:rPr>
        <w:t>第三章</w:t>
      </w:r>
      <w:r>
        <w:rPr>
          <w:rFonts w:hint="eastAsia"/>
          <w:color w:val="auto"/>
          <w:sz w:val="32"/>
          <w:szCs w:val="32"/>
          <w:lang w:val="en-US" w:eastAsia="zh-CN"/>
        </w:rPr>
        <w:t xml:space="preserve">  </w:t>
      </w:r>
      <w:r>
        <w:rPr>
          <w:rFonts w:hint="eastAsia"/>
          <w:color w:val="auto"/>
          <w:sz w:val="32"/>
          <w:szCs w:val="32"/>
        </w:rPr>
        <w:t xml:space="preserve"> 评标办法</w:t>
      </w:r>
      <w:bookmarkEnd w:id="34"/>
      <w:bookmarkEnd w:id="35"/>
    </w:p>
    <w:p w14:paraId="536B09B9">
      <w:pPr>
        <w:spacing w:before="233" w:line="220" w:lineRule="auto"/>
        <w:ind w:left="37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评标应当遵循下列工作程序：</w:t>
      </w:r>
    </w:p>
    <w:p w14:paraId="374564C2">
      <w:pPr>
        <w:spacing w:before="179"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符合性审查。</w:t>
      </w:r>
    </w:p>
    <w:p w14:paraId="5A377B3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 评标委员会将对符合资格的投标人的投标文件进行符合性审查，以确定其是否满足招标文件的实质性要求。</w:t>
      </w:r>
    </w:p>
    <w:p w14:paraId="0D454ACB">
      <w:pPr>
        <w:spacing w:before="182" w:line="220" w:lineRule="auto"/>
        <w:jc w:val="center"/>
        <w:outlineLvl w:val="9"/>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符合性审查表</w:t>
      </w:r>
    </w:p>
    <w:tbl>
      <w:tblPr>
        <w:tblStyle w:val="16"/>
        <w:tblW w:w="95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825"/>
        <w:gridCol w:w="2962"/>
        <w:gridCol w:w="5100"/>
      </w:tblGrid>
      <w:tr w14:paraId="162C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bottom w:val="single" w:color="000000" w:sz="4" w:space="0"/>
            </w:tcBorders>
            <w:vAlign w:val="center"/>
          </w:tcPr>
          <w:p w14:paraId="38BCF3E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序号</w:t>
            </w:r>
          </w:p>
        </w:tc>
        <w:tc>
          <w:tcPr>
            <w:tcW w:w="825" w:type="dxa"/>
            <w:tcBorders>
              <w:top w:val="single" w:color="000000" w:sz="4" w:space="0"/>
              <w:bottom w:val="single" w:color="000000" w:sz="4" w:space="0"/>
            </w:tcBorders>
            <w:vAlign w:val="center"/>
          </w:tcPr>
          <w:p w14:paraId="3C70FF3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类型</w:t>
            </w:r>
          </w:p>
        </w:tc>
        <w:tc>
          <w:tcPr>
            <w:tcW w:w="2962" w:type="dxa"/>
            <w:tcBorders>
              <w:top w:val="single" w:color="000000" w:sz="4" w:space="0"/>
              <w:bottom w:val="single" w:color="000000" w:sz="4" w:space="0"/>
              <w:right w:val="single" w:color="000000" w:sz="4" w:space="0"/>
            </w:tcBorders>
            <w:vAlign w:val="center"/>
          </w:tcPr>
          <w:p w14:paraId="78B58D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审查内容</w:t>
            </w:r>
          </w:p>
        </w:tc>
        <w:tc>
          <w:tcPr>
            <w:tcW w:w="5100" w:type="dxa"/>
            <w:tcBorders>
              <w:top w:val="single" w:color="000000" w:sz="4" w:space="0"/>
              <w:left w:val="single" w:color="000000" w:sz="4" w:space="0"/>
              <w:bottom w:val="single" w:color="000000" w:sz="4" w:space="0"/>
            </w:tcBorders>
            <w:vAlign w:val="center"/>
          </w:tcPr>
          <w:p w14:paraId="0ABFD0D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要求说明</w:t>
            </w:r>
          </w:p>
        </w:tc>
      </w:tr>
      <w:tr w14:paraId="7E61E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bottom w:val="single" w:color="000000" w:sz="4" w:space="0"/>
            </w:tcBorders>
            <w:vAlign w:val="center"/>
          </w:tcPr>
          <w:p w14:paraId="06B2755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p>
        </w:tc>
        <w:tc>
          <w:tcPr>
            <w:tcW w:w="825" w:type="dxa"/>
            <w:tcBorders>
              <w:top w:val="single" w:color="000000" w:sz="4" w:space="0"/>
              <w:bottom w:val="single" w:color="000000" w:sz="4" w:space="0"/>
            </w:tcBorders>
            <w:vAlign w:val="center"/>
          </w:tcPr>
          <w:p w14:paraId="23B13E1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3"/>
                <w:sz w:val="24"/>
                <w:szCs w:val="24"/>
              </w:rPr>
              <w:t>报价1</w:t>
            </w:r>
          </w:p>
        </w:tc>
        <w:tc>
          <w:tcPr>
            <w:tcW w:w="2962" w:type="dxa"/>
            <w:tcBorders>
              <w:top w:val="single" w:color="000000" w:sz="4" w:space="0"/>
              <w:bottom w:val="single" w:color="000000" w:sz="4" w:space="0"/>
              <w:right w:val="single" w:color="000000" w:sz="4" w:space="0"/>
            </w:tcBorders>
            <w:vAlign w:val="center"/>
          </w:tcPr>
          <w:p w14:paraId="1A2F035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投标报价</w:t>
            </w:r>
          </w:p>
        </w:tc>
        <w:tc>
          <w:tcPr>
            <w:tcW w:w="5100" w:type="dxa"/>
            <w:tcBorders>
              <w:top w:val="single" w:color="000000" w:sz="4" w:space="0"/>
              <w:left w:val="single" w:color="000000" w:sz="4" w:space="0"/>
              <w:bottom w:val="single" w:color="000000" w:sz="4" w:space="0"/>
            </w:tcBorders>
            <w:vAlign w:val="center"/>
          </w:tcPr>
          <w:p w14:paraId="4DBE849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投标报价未超过招标文件中规定的最高限价的</w:t>
            </w:r>
            <w:r>
              <w:rPr>
                <w:rFonts w:hint="eastAsia" w:ascii="宋体" w:hAnsi="宋体" w:eastAsia="宋体" w:cs="宋体"/>
                <w:color w:val="auto"/>
                <w:spacing w:val="-1"/>
                <w:sz w:val="24"/>
                <w:szCs w:val="24"/>
                <w:lang w:eastAsia="zh-CN"/>
              </w:rPr>
              <w:t>。</w:t>
            </w:r>
          </w:p>
        </w:tc>
      </w:tr>
      <w:tr w14:paraId="113A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bottom w:val="single" w:color="000000" w:sz="4" w:space="0"/>
            </w:tcBorders>
            <w:vAlign w:val="center"/>
          </w:tcPr>
          <w:p w14:paraId="55E1019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2</w:t>
            </w:r>
          </w:p>
        </w:tc>
        <w:tc>
          <w:tcPr>
            <w:tcW w:w="825" w:type="dxa"/>
            <w:tcBorders>
              <w:top w:val="single" w:color="000000" w:sz="4" w:space="0"/>
              <w:bottom w:val="single" w:color="000000" w:sz="4" w:space="0"/>
            </w:tcBorders>
            <w:vAlign w:val="center"/>
          </w:tcPr>
          <w:p w14:paraId="4E32760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rPr>
              <w:t>报价</w:t>
            </w:r>
            <w:r>
              <w:rPr>
                <w:rFonts w:hint="eastAsia" w:ascii="宋体" w:hAnsi="宋体" w:eastAsia="宋体" w:cs="宋体"/>
                <w:color w:val="auto"/>
                <w:spacing w:val="-3"/>
                <w:sz w:val="24"/>
                <w:szCs w:val="24"/>
                <w:lang w:val="en-US" w:eastAsia="zh-CN"/>
              </w:rPr>
              <w:t>2</w:t>
            </w:r>
          </w:p>
        </w:tc>
        <w:tc>
          <w:tcPr>
            <w:tcW w:w="2962" w:type="dxa"/>
            <w:tcBorders>
              <w:top w:val="single" w:color="000000" w:sz="4" w:space="0"/>
              <w:bottom w:val="single" w:color="000000" w:sz="4" w:space="0"/>
              <w:right w:val="single" w:color="000000" w:sz="4" w:space="0"/>
            </w:tcBorders>
            <w:vAlign w:val="center"/>
          </w:tcPr>
          <w:p w14:paraId="260C7EA1">
            <w:pPr>
              <w:keepNext w:val="0"/>
              <w:keepLines w:val="0"/>
              <w:widowControl/>
              <w:suppressLineNumbers w:val="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kern w:val="0"/>
                <w:sz w:val="24"/>
                <w:szCs w:val="24"/>
                <w:lang w:val="en-US" w:eastAsia="zh-CN" w:bidi="ar"/>
              </w:rPr>
              <w:t>报价唯一性</w:t>
            </w:r>
          </w:p>
        </w:tc>
        <w:tc>
          <w:tcPr>
            <w:tcW w:w="5100" w:type="dxa"/>
            <w:tcBorders>
              <w:top w:val="single" w:color="000000" w:sz="4" w:space="0"/>
              <w:left w:val="single" w:color="000000" w:sz="4" w:space="0"/>
              <w:bottom w:val="single" w:color="000000" w:sz="4" w:space="0"/>
            </w:tcBorders>
            <w:vAlign w:val="center"/>
          </w:tcPr>
          <w:p w14:paraId="4FCC6F2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zh-CN"/>
              </w:rPr>
              <w:t>投标文件未出现可选择性或可调整的报价（招标文件另有规定的除外）。</w:t>
            </w:r>
          </w:p>
        </w:tc>
      </w:tr>
      <w:tr w14:paraId="338A7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bottom w:val="single" w:color="000000" w:sz="4" w:space="0"/>
            </w:tcBorders>
            <w:vAlign w:val="center"/>
          </w:tcPr>
          <w:p w14:paraId="2B66F7E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3</w:t>
            </w:r>
          </w:p>
        </w:tc>
        <w:tc>
          <w:tcPr>
            <w:tcW w:w="825" w:type="dxa"/>
            <w:tcBorders>
              <w:top w:val="single" w:color="000000" w:sz="4" w:space="0"/>
              <w:bottom w:val="single" w:color="000000" w:sz="4" w:space="0"/>
            </w:tcBorders>
            <w:vAlign w:val="center"/>
          </w:tcPr>
          <w:p w14:paraId="1BA69E9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3</w:t>
            </w:r>
          </w:p>
        </w:tc>
        <w:tc>
          <w:tcPr>
            <w:tcW w:w="2962" w:type="dxa"/>
            <w:tcBorders>
              <w:top w:val="single" w:color="000000" w:sz="4" w:space="0"/>
              <w:bottom w:val="single" w:color="000000" w:sz="4" w:space="0"/>
              <w:right w:val="single" w:color="000000" w:sz="4" w:space="0"/>
            </w:tcBorders>
            <w:vAlign w:val="center"/>
          </w:tcPr>
          <w:p w14:paraId="4B609E87">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投标有效期</w:t>
            </w:r>
          </w:p>
        </w:tc>
        <w:tc>
          <w:tcPr>
            <w:tcW w:w="5100" w:type="dxa"/>
            <w:tcBorders>
              <w:top w:val="single" w:color="000000" w:sz="4" w:space="0"/>
              <w:left w:val="single" w:color="000000" w:sz="4" w:space="0"/>
              <w:bottom w:val="single" w:color="000000" w:sz="4" w:space="0"/>
            </w:tcBorders>
            <w:vAlign w:val="center"/>
          </w:tcPr>
          <w:p w14:paraId="3F17721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投标文件中承诺的投标有效期满足招标文件中载明的投标有效期的。</w:t>
            </w:r>
          </w:p>
        </w:tc>
      </w:tr>
      <w:tr w14:paraId="05E2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bottom w:val="single" w:color="000000" w:sz="4" w:space="0"/>
            </w:tcBorders>
            <w:vAlign w:val="center"/>
          </w:tcPr>
          <w:p w14:paraId="3D0F7C4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4</w:t>
            </w:r>
          </w:p>
        </w:tc>
        <w:tc>
          <w:tcPr>
            <w:tcW w:w="825" w:type="dxa"/>
            <w:tcBorders>
              <w:top w:val="single" w:color="000000" w:sz="4" w:space="0"/>
              <w:bottom w:val="single" w:color="000000" w:sz="4" w:space="0"/>
            </w:tcBorders>
            <w:vAlign w:val="center"/>
          </w:tcPr>
          <w:p w14:paraId="0BC98FD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4</w:t>
            </w:r>
          </w:p>
        </w:tc>
        <w:tc>
          <w:tcPr>
            <w:tcW w:w="2962" w:type="dxa"/>
            <w:tcBorders>
              <w:top w:val="single" w:color="000000" w:sz="4" w:space="0"/>
              <w:bottom w:val="single" w:color="000000" w:sz="4" w:space="0"/>
              <w:right w:val="single" w:color="000000" w:sz="4" w:space="0"/>
            </w:tcBorders>
            <w:vAlign w:val="center"/>
          </w:tcPr>
          <w:p w14:paraId="758ADF2A">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★号条款响应</w:t>
            </w:r>
          </w:p>
        </w:tc>
        <w:tc>
          <w:tcPr>
            <w:tcW w:w="5100" w:type="dxa"/>
            <w:tcBorders>
              <w:top w:val="single" w:color="000000" w:sz="4" w:space="0"/>
              <w:left w:val="single" w:color="000000" w:sz="4" w:space="0"/>
              <w:bottom w:val="single" w:color="000000" w:sz="4" w:space="0"/>
            </w:tcBorders>
            <w:vAlign w:val="center"/>
          </w:tcPr>
          <w:p w14:paraId="64EA072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投标文件满足招标文件第五章《采购需求》中★号条款要求的</w:t>
            </w:r>
            <w:r>
              <w:rPr>
                <w:rFonts w:hint="eastAsia" w:cs="宋体"/>
                <w:color w:val="auto"/>
                <w:spacing w:val="-1"/>
                <w:sz w:val="24"/>
                <w:szCs w:val="24"/>
                <w:highlight w:val="none"/>
                <w:lang w:val="en-US" w:eastAsia="zh-CN"/>
              </w:rPr>
              <w:t>，不满足投标无效</w:t>
            </w:r>
            <w:r>
              <w:rPr>
                <w:rFonts w:hint="eastAsia" w:ascii="宋体" w:hAnsi="宋体" w:eastAsia="宋体" w:cs="宋体"/>
                <w:color w:val="auto"/>
                <w:spacing w:val="-1"/>
                <w:sz w:val="24"/>
                <w:szCs w:val="24"/>
                <w:highlight w:val="none"/>
                <w:lang w:val="en-US" w:eastAsia="zh-CN"/>
              </w:rPr>
              <w:t>。</w:t>
            </w:r>
          </w:p>
        </w:tc>
      </w:tr>
      <w:tr w14:paraId="2D9D5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tcBorders>
            <w:vAlign w:val="center"/>
          </w:tcPr>
          <w:p w14:paraId="5F5ADCD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5</w:t>
            </w:r>
          </w:p>
        </w:tc>
        <w:tc>
          <w:tcPr>
            <w:tcW w:w="825" w:type="dxa"/>
            <w:tcBorders>
              <w:top w:val="single" w:color="000000" w:sz="4" w:space="0"/>
            </w:tcBorders>
            <w:vAlign w:val="center"/>
          </w:tcPr>
          <w:p w14:paraId="3974095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5</w:t>
            </w:r>
          </w:p>
        </w:tc>
        <w:tc>
          <w:tcPr>
            <w:tcW w:w="2962" w:type="dxa"/>
            <w:tcBorders>
              <w:top w:val="single" w:color="000000" w:sz="4" w:space="0"/>
              <w:right w:val="single" w:color="000000" w:sz="4" w:space="0"/>
            </w:tcBorders>
            <w:vAlign w:val="center"/>
          </w:tcPr>
          <w:p w14:paraId="41AF6855">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en-US" w:bidi="ar"/>
              </w:rPr>
            </w:pPr>
            <w:r>
              <w:rPr>
                <w:rFonts w:hint="eastAsia" w:ascii="宋体" w:hAnsi="宋体" w:eastAsia="宋体" w:cs="宋体"/>
                <w:snapToGrid w:val="0"/>
                <w:color w:val="auto"/>
                <w:kern w:val="0"/>
                <w:sz w:val="24"/>
                <w:szCs w:val="24"/>
                <w:highlight w:val="none"/>
                <w:lang w:val="en-US" w:eastAsia="zh-CN" w:bidi="ar"/>
              </w:rPr>
              <w:t>合同履行期限（交货期限）</w:t>
            </w:r>
          </w:p>
        </w:tc>
        <w:tc>
          <w:tcPr>
            <w:tcW w:w="5100" w:type="dxa"/>
            <w:tcBorders>
              <w:top w:val="single" w:color="000000" w:sz="4" w:space="0"/>
              <w:left w:val="single" w:color="000000" w:sz="4" w:space="0"/>
              <w:bottom w:val="single" w:color="000000" w:sz="4" w:space="0"/>
            </w:tcBorders>
            <w:vAlign w:val="center"/>
          </w:tcPr>
          <w:p w14:paraId="49BFB5EE">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合同签订之日起30天内。</w:t>
            </w:r>
          </w:p>
        </w:tc>
      </w:tr>
      <w:tr w14:paraId="7BF22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tcBorders>
            <w:vAlign w:val="center"/>
          </w:tcPr>
          <w:p w14:paraId="5FA9649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6</w:t>
            </w:r>
          </w:p>
        </w:tc>
        <w:tc>
          <w:tcPr>
            <w:tcW w:w="825" w:type="dxa"/>
            <w:tcBorders>
              <w:top w:val="single" w:color="000000" w:sz="4" w:space="0"/>
            </w:tcBorders>
            <w:vAlign w:val="center"/>
          </w:tcPr>
          <w:p w14:paraId="3A98423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6</w:t>
            </w:r>
          </w:p>
        </w:tc>
        <w:tc>
          <w:tcPr>
            <w:tcW w:w="2962" w:type="dxa"/>
            <w:tcBorders>
              <w:top w:val="single" w:color="000000" w:sz="4" w:space="0"/>
              <w:right w:val="single" w:color="000000" w:sz="4" w:space="0"/>
            </w:tcBorders>
            <w:vAlign w:val="center"/>
          </w:tcPr>
          <w:p w14:paraId="129A41E1">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质保期</w:t>
            </w:r>
          </w:p>
        </w:tc>
        <w:tc>
          <w:tcPr>
            <w:tcW w:w="5100" w:type="dxa"/>
            <w:tcBorders>
              <w:top w:val="single" w:color="000000" w:sz="4" w:space="0"/>
              <w:left w:val="single" w:color="000000" w:sz="4" w:space="0"/>
              <w:bottom w:val="single" w:color="000000" w:sz="4" w:space="0"/>
            </w:tcBorders>
            <w:vAlign w:val="center"/>
          </w:tcPr>
          <w:p w14:paraId="57000A69">
            <w:pPr>
              <w:keepNext w:val="0"/>
              <w:keepLines w:val="0"/>
              <w:widowControl/>
              <w:suppressLineNumbers w:val="0"/>
              <w:jc w:val="left"/>
              <w:rPr>
                <w:rFonts w:hint="default"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≥5年。</w:t>
            </w:r>
          </w:p>
        </w:tc>
      </w:tr>
      <w:tr w14:paraId="5AC8E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tcBorders>
            <w:vAlign w:val="center"/>
          </w:tcPr>
          <w:p w14:paraId="75F9548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7</w:t>
            </w:r>
          </w:p>
        </w:tc>
        <w:tc>
          <w:tcPr>
            <w:tcW w:w="825" w:type="dxa"/>
            <w:tcBorders>
              <w:top w:val="single" w:color="000000" w:sz="4" w:space="0"/>
            </w:tcBorders>
            <w:vAlign w:val="center"/>
          </w:tcPr>
          <w:p w14:paraId="1F94B1B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7</w:t>
            </w:r>
          </w:p>
        </w:tc>
        <w:tc>
          <w:tcPr>
            <w:tcW w:w="2962" w:type="dxa"/>
            <w:tcBorders>
              <w:top w:val="single" w:color="000000" w:sz="4" w:space="0"/>
              <w:right w:val="single" w:color="000000" w:sz="4" w:space="0"/>
            </w:tcBorders>
            <w:vAlign w:val="center"/>
          </w:tcPr>
          <w:p w14:paraId="50307F9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投标文件</w:t>
            </w:r>
            <w:r>
              <w:rPr>
                <w:rFonts w:hint="eastAsia" w:cs="宋体"/>
                <w:color w:val="auto"/>
                <w:spacing w:val="-1"/>
                <w:sz w:val="24"/>
                <w:szCs w:val="24"/>
                <w:lang w:eastAsia="zh-CN"/>
              </w:rPr>
              <w:t>格式</w:t>
            </w:r>
          </w:p>
        </w:tc>
        <w:tc>
          <w:tcPr>
            <w:tcW w:w="5100" w:type="dxa"/>
            <w:tcBorders>
              <w:top w:val="single" w:color="000000" w:sz="4" w:space="0"/>
              <w:left w:val="single" w:color="000000" w:sz="4" w:space="0"/>
              <w:bottom w:val="single" w:color="000000" w:sz="4" w:space="0"/>
            </w:tcBorders>
            <w:vAlign w:val="center"/>
          </w:tcPr>
          <w:p w14:paraId="444F2B2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投标文件中包括了招标文件中提供格式的文本，形式上符合招标文件规定。</w:t>
            </w:r>
          </w:p>
        </w:tc>
      </w:tr>
      <w:tr w14:paraId="7BA97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tcBorders>
            <w:vAlign w:val="center"/>
          </w:tcPr>
          <w:p w14:paraId="1488A33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8</w:t>
            </w:r>
          </w:p>
        </w:tc>
        <w:tc>
          <w:tcPr>
            <w:tcW w:w="825" w:type="dxa"/>
            <w:tcBorders>
              <w:top w:val="single" w:color="000000" w:sz="4" w:space="0"/>
            </w:tcBorders>
            <w:vAlign w:val="center"/>
          </w:tcPr>
          <w:p w14:paraId="628CC8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8</w:t>
            </w:r>
          </w:p>
        </w:tc>
        <w:tc>
          <w:tcPr>
            <w:tcW w:w="2962" w:type="dxa"/>
            <w:tcBorders>
              <w:top w:val="single" w:color="000000" w:sz="4" w:space="0"/>
              <w:right w:val="single" w:color="000000" w:sz="4" w:space="0"/>
            </w:tcBorders>
            <w:vAlign w:val="center"/>
          </w:tcPr>
          <w:p w14:paraId="1F17180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5"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8"/>
                <w:sz w:val="24"/>
                <w:szCs w:val="24"/>
              </w:rPr>
              <w:t>投标</w:t>
            </w:r>
            <w:r>
              <w:rPr>
                <w:rFonts w:hint="eastAsia" w:cs="宋体"/>
                <w:color w:val="auto"/>
                <w:spacing w:val="-8"/>
                <w:sz w:val="24"/>
                <w:szCs w:val="24"/>
                <w:lang w:eastAsia="zh-CN"/>
              </w:rPr>
              <w:t>文件签字</w:t>
            </w:r>
            <w:r>
              <w:rPr>
                <w:rFonts w:hint="eastAsia" w:ascii="宋体" w:hAnsi="宋体" w:eastAsia="宋体" w:cs="宋体"/>
                <w:color w:val="auto"/>
                <w:spacing w:val="-8"/>
                <w:sz w:val="24"/>
                <w:szCs w:val="24"/>
              </w:rPr>
              <w:t>、盖</w:t>
            </w:r>
            <w:r>
              <w:rPr>
                <w:rFonts w:hint="eastAsia" w:ascii="宋体" w:hAnsi="宋体" w:eastAsia="宋体" w:cs="宋体"/>
                <w:color w:val="auto"/>
                <w:spacing w:val="-9"/>
                <w:sz w:val="24"/>
                <w:szCs w:val="24"/>
              </w:rPr>
              <w:t>章</w:t>
            </w:r>
          </w:p>
        </w:tc>
        <w:tc>
          <w:tcPr>
            <w:tcW w:w="5100" w:type="dxa"/>
            <w:tcBorders>
              <w:top w:val="single" w:color="000000" w:sz="4" w:space="0"/>
              <w:left w:val="single" w:color="000000" w:sz="4" w:space="0"/>
              <w:bottom w:val="single" w:color="000000" w:sz="4" w:space="0"/>
            </w:tcBorders>
            <w:vAlign w:val="center"/>
          </w:tcPr>
          <w:p w14:paraId="256C3EE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投标人按照招标文件规定要求签署、盖章</w:t>
            </w:r>
            <w:r>
              <w:rPr>
                <w:rFonts w:hint="eastAsia" w:ascii="宋体" w:hAnsi="宋体" w:eastAsia="宋体" w:cs="宋体"/>
                <w:color w:val="auto"/>
                <w:spacing w:val="-1"/>
                <w:sz w:val="24"/>
                <w:szCs w:val="24"/>
                <w:lang w:eastAsia="zh-CN"/>
              </w:rPr>
              <w:t>。</w:t>
            </w:r>
          </w:p>
        </w:tc>
      </w:tr>
      <w:tr w14:paraId="39F15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46" w:type="dxa"/>
            <w:tcBorders>
              <w:top w:val="single" w:color="000000" w:sz="4" w:space="0"/>
              <w:left w:val="single" w:color="000000" w:sz="4" w:space="0"/>
            </w:tcBorders>
            <w:vAlign w:val="center"/>
          </w:tcPr>
          <w:p w14:paraId="142FA82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default" w:ascii="宋体" w:hAnsi="宋体" w:eastAsia="宋体" w:cs="宋体"/>
                <w:snapToGrid w:val="0"/>
                <w:color w:val="auto"/>
                <w:spacing w:val="-3"/>
                <w:kern w:val="0"/>
                <w:sz w:val="24"/>
                <w:szCs w:val="24"/>
                <w:lang w:val="en-US" w:eastAsia="zh-CN" w:bidi="ar-SA"/>
              </w:rPr>
            </w:pPr>
            <w:r>
              <w:rPr>
                <w:rFonts w:hint="eastAsia" w:ascii="宋体" w:hAnsi="宋体" w:eastAsia="宋体" w:cs="宋体"/>
                <w:snapToGrid w:val="0"/>
                <w:color w:val="auto"/>
                <w:spacing w:val="-3"/>
                <w:kern w:val="0"/>
                <w:sz w:val="24"/>
                <w:szCs w:val="24"/>
                <w:lang w:val="en-US" w:eastAsia="zh-CN" w:bidi="ar-SA"/>
              </w:rPr>
              <w:t>9</w:t>
            </w:r>
          </w:p>
        </w:tc>
        <w:tc>
          <w:tcPr>
            <w:tcW w:w="825" w:type="dxa"/>
            <w:tcBorders>
              <w:top w:val="single" w:color="000000" w:sz="4" w:space="0"/>
            </w:tcBorders>
            <w:vAlign w:val="center"/>
          </w:tcPr>
          <w:p w14:paraId="7CB09BA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9</w:t>
            </w:r>
          </w:p>
        </w:tc>
        <w:tc>
          <w:tcPr>
            <w:tcW w:w="2962" w:type="dxa"/>
            <w:tcBorders>
              <w:top w:val="single" w:color="000000" w:sz="4" w:space="0"/>
              <w:right w:val="single" w:color="000000" w:sz="4" w:space="0"/>
            </w:tcBorders>
            <w:vAlign w:val="center"/>
          </w:tcPr>
          <w:p w14:paraId="4C7874F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其他要求</w:t>
            </w:r>
          </w:p>
        </w:tc>
        <w:tc>
          <w:tcPr>
            <w:tcW w:w="5100" w:type="dxa"/>
            <w:tcBorders>
              <w:top w:val="single" w:color="000000" w:sz="4" w:space="0"/>
              <w:left w:val="single" w:color="000000" w:sz="4" w:space="0"/>
              <w:bottom w:val="single" w:color="000000" w:sz="4" w:space="0"/>
            </w:tcBorders>
            <w:vAlign w:val="center"/>
          </w:tcPr>
          <w:p w14:paraId="70022DF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投标文件未含有采购人不能接受的附加条件的</w:t>
            </w:r>
            <w:r>
              <w:rPr>
                <w:rFonts w:hint="eastAsia" w:ascii="宋体" w:hAnsi="宋体" w:eastAsia="宋体" w:cs="宋体"/>
                <w:color w:val="auto"/>
                <w:spacing w:val="-1"/>
                <w:sz w:val="24"/>
                <w:szCs w:val="24"/>
                <w:lang w:eastAsia="zh-CN"/>
              </w:rPr>
              <w:t>。</w:t>
            </w:r>
          </w:p>
          <w:p w14:paraId="24A0E7C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对招标文件的实质性要求作出响应</w:t>
            </w:r>
            <w:r>
              <w:rPr>
                <w:rFonts w:hint="eastAsia" w:ascii="宋体" w:hAnsi="宋体" w:eastAsia="宋体" w:cs="宋体"/>
                <w:color w:val="auto"/>
                <w:spacing w:val="-1"/>
                <w:sz w:val="24"/>
                <w:szCs w:val="24"/>
                <w:lang w:eastAsia="zh-CN"/>
              </w:rPr>
              <w:t>。</w:t>
            </w:r>
          </w:p>
          <w:p w14:paraId="6DAC809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投标人不存在串通投标行为</w:t>
            </w:r>
            <w:r>
              <w:rPr>
                <w:rFonts w:hint="eastAsia" w:ascii="宋体" w:hAnsi="宋体" w:eastAsia="宋体" w:cs="宋体"/>
                <w:color w:val="auto"/>
                <w:spacing w:val="-1"/>
                <w:sz w:val="24"/>
                <w:szCs w:val="24"/>
                <w:lang w:eastAsia="zh-CN"/>
              </w:rPr>
              <w:t>。</w:t>
            </w:r>
          </w:p>
          <w:p w14:paraId="2EC1D28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投标人、投标文件不存在不符合法律、法规和招标文件规定的其他无效情形。</w:t>
            </w:r>
          </w:p>
        </w:tc>
      </w:tr>
    </w:tbl>
    <w:p w14:paraId="130019B0">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5CE8F18F">
      <w:pPr>
        <w:bidi w:val="0"/>
        <w:outlineLvl w:val="9"/>
        <w:rPr>
          <w:rFonts w:hint="eastAsia" w:ascii="宋体" w:hAnsi="宋体" w:eastAsia="宋体" w:cs="宋体"/>
          <w:color w:val="auto"/>
          <w:sz w:val="24"/>
          <w:szCs w:val="24"/>
        </w:rPr>
      </w:pPr>
    </w:p>
    <w:p w14:paraId="0FCFA2D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一、有下列情形之一的，属于投标人相互串通投标：</w:t>
      </w:r>
    </w:p>
    <w:p w14:paraId="4ABF7C0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（一）投标人之间协商投标报价等投标文件的实质性内容；</w:t>
      </w:r>
    </w:p>
    <w:p w14:paraId="2AF4F08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（二）投标人之间约定中标人；</w:t>
      </w:r>
    </w:p>
    <w:p w14:paraId="22FE5BA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（三）投标人之间约定部分投标人放弃投标或者中标；</w:t>
      </w:r>
    </w:p>
    <w:p w14:paraId="4E4117A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（四）属于同一集团、协会、商会等组织成员的投标人按照该组织要求协同投标；</w:t>
      </w:r>
    </w:p>
    <w:p w14:paraId="7105858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（五）投标人之间为谋取中标或者排斥特定投标人而采取的其他联合行动。</w:t>
      </w:r>
    </w:p>
    <w:p w14:paraId="2AC1DC31">
      <w:pPr>
        <w:bidi w:val="0"/>
        <w:outlineLvl w:val="9"/>
        <w:rPr>
          <w:rFonts w:hint="eastAsia" w:ascii="宋体" w:hAnsi="宋体" w:eastAsia="宋体" w:cs="宋体"/>
          <w:color w:val="auto"/>
          <w:sz w:val="24"/>
          <w:szCs w:val="24"/>
        </w:rPr>
      </w:pPr>
    </w:p>
    <w:p w14:paraId="58ED9BE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二、有下列情形之一的，视为投标人相互串通投标：</w:t>
      </w:r>
    </w:p>
    <w:p w14:paraId="5AB9851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（一）不同投标人的投标文件由同一单位或者个人编制；</w:t>
      </w:r>
    </w:p>
    <w:p w14:paraId="1CA6E02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（二）不同投标人委托同一单位或者个人办理投标事宜；</w:t>
      </w:r>
    </w:p>
    <w:p w14:paraId="54505F8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（三）不同投标人的投标文件载明的项目管理成员为同一人；</w:t>
      </w:r>
    </w:p>
    <w:p w14:paraId="7F48045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（四）不同投标人的投标文件异常一致或者投标报价呈规律性差异；</w:t>
      </w:r>
    </w:p>
    <w:p w14:paraId="1881839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（五）不同投标人的投标文件相互混装；</w:t>
      </w:r>
    </w:p>
    <w:p w14:paraId="6513FA2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（六）不同投标人的投标保证金从同一单位或者个人的账户转出；</w:t>
      </w:r>
    </w:p>
    <w:p w14:paraId="01F27B9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（七）《关于禁止串通招标投标行为的暂行规定》（国家工商行政管理局令第 82 号）第三条规定的串通投标行为；</w:t>
      </w:r>
    </w:p>
    <w:p w14:paraId="500B27C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（八）投标人串通投标的其他情形。</w:t>
      </w:r>
    </w:p>
    <w:p w14:paraId="0D2BF0D9">
      <w:pPr>
        <w:bidi w:val="0"/>
        <w:outlineLvl w:val="9"/>
        <w:rPr>
          <w:rFonts w:hint="eastAsia" w:ascii="宋体" w:hAnsi="宋体" w:eastAsia="宋体" w:cs="宋体"/>
          <w:color w:val="auto"/>
          <w:sz w:val="24"/>
          <w:szCs w:val="24"/>
        </w:rPr>
      </w:pPr>
    </w:p>
    <w:p w14:paraId="1E87B8D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三、有下列情形之一的，属于采购人与投标人串通投标：</w:t>
      </w:r>
    </w:p>
    <w:p w14:paraId="3FC46A2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（一）采购人在开标前开启投标文件并将有关信息泄露给其他投标人；</w:t>
      </w:r>
    </w:p>
    <w:p w14:paraId="645781E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（二）采购人直接或者间接向投标人泄露标底、评标委员会成员等信息；</w:t>
      </w:r>
    </w:p>
    <w:p w14:paraId="7F23727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（三）采购人明示或者暗示投标人压低或者抬高投标报价；</w:t>
      </w:r>
    </w:p>
    <w:p w14:paraId="553C1E6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（四）采购人授意投标人撤换、修改投标文件；</w:t>
      </w:r>
    </w:p>
    <w:p w14:paraId="56FA054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（五）采购人明示或者暗示投标人为特定投标人中标提供方便；</w:t>
      </w:r>
    </w:p>
    <w:p w14:paraId="7EA1323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（六）采购人与投标人为谋求特定投标人中标而采取的其他串通行为。</w:t>
      </w:r>
    </w:p>
    <w:p w14:paraId="6EEE4913">
      <w:pPr>
        <w:bidi w:val="0"/>
        <w:outlineLvl w:val="9"/>
        <w:rPr>
          <w:rFonts w:hint="eastAsia" w:ascii="宋体" w:hAnsi="宋体" w:eastAsia="宋体" w:cs="宋体"/>
          <w:color w:val="auto"/>
          <w:sz w:val="24"/>
          <w:szCs w:val="24"/>
        </w:rPr>
      </w:pPr>
    </w:p>
    <w:p w14:paraId="5F90725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注：经评标委员会评审合格投标人的家数不足三家，该项目废标，采购人有权委托采购代理机构重新组织招标。</w:t>
      </w:r>
    </w:p>
    <w:p w14:paraId="49627942">
      <w:pPr>
        <w:bidi w:val="0"/>
        <w:outlineLvl w:val="9"/>
        <w:rPr>
          <w:rFonts w:hint="eastAsia" w:ascii="宋体" w:hAnsi="宋体" w:eastAsia="宋体" w:cs="宋体"/>
          <w:color w:val="auto"/>
          <w:sz w:val="24"/>
          <w:szCs w:val="24"/>
        </w:rPr>
      </w:pPr>
    </w:p>
    <w:p w14:paraId="63C83C5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136AC9B7">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 评标委员会将允许修正投标文件中不构成重大偏离的细微偏离，但这些修正应不会 对实质上响应招标文件要求的投标人的竞争地位（相互排序）产生不公正的影响。</w:t>
      </w:r>
    </w:p>
    <w:p w14:paraId="2F89B4FC">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 投标文件报价出现前后不一致的，除招标文件另有规定外，按照下列规定修正：（一）投标文件中开标一览表（报价表）内容与投标文件中相应内容不一致的，以开标一览表（报价表）为准；</w:t>
      </w:r>
    </w:p>
    <w:p w14:paraId="2437027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（二）大写金额和小写金额不一致的，以大写金额为准；</w:t>
      </w:r>
    </w:p>
    <w:p w14:paraId="62B73FF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（三）单价金额小数点或者百分比有明显错位的，以开标一览表的总价为准，并修改单价；</w:t>
      </w:r>
    </w:p>
    <w:p w14:paraId="7C93951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（四）总价金额与按单价汇总金额不一致的，以单价金额计算结果为准。同时出现两种以上不一致的，按照规定的顺序修正。修正后的报价经投标人确认后产生约束力，投标人不确认的，其投标无效。</w:t>
      </w:r>
    </w:p>
    <w:p w14:paraId="4A272C68">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70F31FD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 评标委员会应当按照招标文件中规定的评标方法和标准，对符合性审查合格的投标文 件进行商务和技术评估，综合比较与评价。</w:t>
      </w:r>
    </w:p>
    <w:p w14:paraId="23C1C2F7">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F4ADA3">
      <w:pPr>
        <w:spacing w:before="182" w:line="219" w:lineRule="auto"/>
        <w:ind w:left="15" w:firstLine="238" w:firstLineChars="1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3.3.2</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综合评分法评分方法（计算结果精确到小数点后两位</w:t>
      </w:r>
      <w:r>
        <w:rPr>
          <w:rFonts w:hint="eastAsia" w:ascii="宋体" w:hAnsi="宋体" w:eastAsia="宋体" w:cs="宋体"/>
          <w:color w:val="auto"/>
          <w:sz w:val="24"/>
          <w:szCs w:val="24"/>
        </w:rPr>
        <w:t>）：</w:t>
      </w:r>
    </w:p>
    <w:tbl>
      <w:tblPr>
        <w:tblStyle w:val="1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488"/>
        <w:gridCol w:w="6624"/>
        <w:gridCol w:w="634"/>
      </w:tblGrid>
      <w:tr w14:paraId="0AFFA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9" w:type="dxa"/>
            <w:vAlign w:val="center"/>
          </w:tcPr>
          <w:p w14:paraId="3791A7A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88" w:type="dxa"/>
            <w:vAlign w:val="center"/>
          </w:tcPr>
          <w:p w14:paraId="12F7692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6624" w:type="dxa"/>
            <w:vAlign w:val="center"/>
          </w:tcPr>
          <w:p w14:paraId="719E2F3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634" w:type="dxa"/>
            <w:vAlign w:val="center"/>
          </w:tcPr>
          <w:p w14:paraId="76AC6E4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3716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0F84938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634" w:type="dxa"/>
            <w:vAlign w:val="center"/>
          </w:tcPr>
          <w:p w14:paraId="12E8C5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19F3F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549" w:type="dxa"/>
            <w:vAlign w:val="center"/>
          </w:tcPr>
          <w:p w14:paraId="7637938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1282816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6624" w:type="dxa"/>
            <w:vAlign w:val="center"/>
          </w:tcPr>
          <w:p w14:paraId="1A7DA0EA">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vAlign w:val="center"/>
          </w:tcPr>
          <w:p w14:paraId="5D1D7D3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23D7B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3E87EAE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二、商务因素</w:t>
            </w:r>
          </w:p>
        </w:tc>
        <w:tc>
          <w:tcPr>
            <w:tcW w:w="634" w:type="dxa"/>
            <w:vAlign w:val="center"/>
          </w:tcPr>
          <w:p w14:paraId="33D05AD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r>
      <w:tr w14:paraId="78AD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0D0DBB0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8" w:type="dxa"/>
            <w:vAlign w:val="center"/>
          </w:tcPr>
          <w:p w14:paraId="3974A2C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624" w:type="dxa"/>
            <w:vAlign w:val="center"/>
          </w:tcPr>
          <w:p w14:paraId="685A966E">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每提供一</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同类项目（所投产品）销售业绩得1分，满分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949858A">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评分依据：投标文件中附合同</w:t>
            </w:r>
            <w:r>
              <w:rPr>
                <w:rFonts w:hint="eastAsia" w:ascii="宋体" w:hAnsi="宋体" w:eastAsia="宋体" w:cs="宋体"/>
                <w:b/>
                <w:bCs/>
                <w:color w:val="auto"/>
                <w:sz w:val="24"/>
                <w:szCs w:val="24"/>
                <w:highlight w:val="none"/>
                <w:lang w:eastAsia="zh-CN"/>
              </w:rPr>
              <w:t>或中标通知书</w:t>
            </w:r>
            <w:r>
              <w:rPr>
                <w:rFonts w:hint="eastAsia" w:ascii="宋体" w:hAnsi="宋体" w:eastAsia="宋体" w:cs="宋体"/>
                <w:b/>
                <w:bCs/>
                <w:color w:val="auto"/>
                <w:sz w:val="24"/>
                <w:szCs w:val="24"/>
                <w:highlight w:val="none"/>
              </w:rPr>
              <w:t>复印件，业绩有效期为202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年1月1日至今，以合同签订时间为准</w:t>
            </w:r>
            <w:r>
              <w:rPr>
                <w:rFonts w:hint="eastAsia" w:ascii="宋体" w:hAnsi="宋体" w:eastAsia="宋体" w:cs="宋体"/>
                <w:b/>
                <w:bCs/>
                <w:color w:val="auto"/>
                <w:sz w:val="24"/>
                <w:szCs w:val="24"/>
                <w:highlight w:val="none"/>
                <w:lang w:val="en-US" w:eastAsia="zh-CN"/>
              </w:rPr>
              <w:t>。（投标人销售业绩或制造商的销售业绩有效）</w:t>
            </w:r>
          </w:p>
        </w:tc>
        <w:tc>
          <w:tcPr>
            <w:tcW w:w="634" w:type="dxa"/>
            <w:vAlign w:val="center"/>
          </w:tcPr>
          <w:p w14:paraId="127339B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108D4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4A42AFC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88" w:type="dxa"/>
            <w:vAlign w:val="center"/>
          </w:tcPr>
          <w:p w14:paraId="5764797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“节能产品”和“环境标志产品”评价</w:t>
            </w:r>
          </w:p>
        </w:tc>
        <w:tc>
          <w:tcPr>
            <w:tcW w:w="6624" w:type="dxa"/>
            <w:vAlign w:val="center"/>
          </w:tcPr>
          <w:p w14:paraId="6414F6CE">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政府采购的强制产品除外：</w:t>
            </w:r>
          </w:p>
          <w:p w14:paraId="3AFFBBDE">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1、投标产品属于“节能产品政府采购品目清单”产品的，且认证在有效截止日期内，得0.5分；不是的为0分；</w:t>
            </w:r>
          </w:p>
          <w:p w14:paraId="3970AACB">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2、投标产品属于“环境标志产品政府采购品目清单”产品的，且认证在有效截止日期内，得0.5分；不是的为0分。</w:t>
            </w:r>
          </w:p>
        </w:tc>
        <w:tc>
          <w:tcPr>
            <w:tcW w:w="634" w:type="dxa"/>
            <w:vAlign w:val="center"/>
          </w:tcPr>
          <w:p w14:paraId="6B853E5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0CFCD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33AF1A7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88" w:type="dxa"/>
            <w:vAlign w:val="center"/>
          </w:tcPr>
          <w:p w14:paraId="576CB5E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对招标文件</w:t>
            </w:r>
          </w:p>
          <w:p w14:paraId="5345536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技术规格要</w:t>
            </w:r>
          </w:p>
          <w:p w14:paraId="303AC83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求的响应程</w:t>
            </w:r>
          </w:p>
          <w:p w14:paraId="6370676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度</w:t>
            </w:r>
          </w:p>
        </w:tc>
        <w:tc>
          <w:tcPr>
            <w:tcW w:w="6624" w:type="dxa"/>
            <w:shd w:val="clear" w:color="auto" w:fill="auto"/>
            <w:vAlign w:val="center"/>
          </w:tcPr>
          <w:p w14:paraId="0B0AB4FB">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技术需求中的▲条款每有一项参数负</w:t>
            </w:r>
            <w:r>
              <w:rPr>
                <w:rFonts w:hint="eastAsia" w:ascii="宋体" w:hAnsi="宋体" w:eastAsia="宋体" w:cs="宋体"/>
                <w:color w:val="auto"/>
                <w:sz w:val="24"/>
                <w:szCs w:val="24"/>
                <w:highlight w:val="none"/>
                <w:lang w:val="en-US" w:eastAsia="zh-CN"/>
              </w:rPr>
              <w:t>偏离扣3分；一般条款（即非星号、非▲条款），每有一项参数负偏离扣1分。</w:t>
            </w:r>
          </w:p>
          <w:p w14:paraId="721496A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依据：投标人需如实对招标文件中的技术需求进行点对点应答，并详细填写采购需求偏离表，如虚假响应或提供虚假证明材料，采购人及评标委员会有权追究其法律责任，并将违法情况上报主管部门，申请将其行为公示于信用中国网站（www.creditchina.gov.cn）和中国政府采购网（www.ccgp.gov.cn）。</w:t>
            </w:r>
          </w:p>
          <w:p w14:paraId="7FEDADEE">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注：1.“▲”号参数须提供相关要求的技术支持资料，且标明所在响应文件中的页码，供应商的技术偏离表中仅作出应答而未提供要求的有效技术支持资料，评审委员会均有权不予认可，并扣除相应分值。</w:t>
            </w:r>
          </w:p>
          <w:p w14:paraId="742D930E">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需求中对技术支持资料有要求的以需求为准，没有要求的，技术支持资料包括但不限于：公开发布的印刷资料（彩页或产品宣传册）、国家认可的第三方检测机构出具的检测报告、官方网站发布的技术资料截图等相关证明文件并加盖公章。如证明材料与应答不符，以证明材料为准，不满足上述要求，视为该条技术条款未响应。</w:t>
            </w:r>
          </w:p>
        </w:tc>
        <w:tc>
          <w:tcPr>
            <w:tcW w:w="634" w:type="dxa"/>
            <w:shd w:val="clear" w:color="auto" w:fill="auto"/>
            <w:vAlign w:val="center"/>
          </w:tcPr>
          <w:p w14:paraId="1C1D8A8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r>
      <w:tr w14:paraId="7508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661" w:type="dxa"/>
            <w:gridSpan w:val="3"/>
            <w:noWrap w:val="0"/>
            <w:vAlign w:val="center"/>
          </w:tcPr>
          <w:p w14:paraId="44897AA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三、技术因素</w:t>
            </w:r>
          </w:p>
        </w:tc>
        <w:tc>
          <w:tcPr>
            <w:tcW w:w="634" w:type="dxa"/>
            <w:noWrap w:val="0"/>
            <w:vAlign w:val="center"/>
          </w:tcPr>
          <w:p w14:paraId="53DFA3D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r>
      <w:tr w14:paraId="5944C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shd w:val="clear" w:color="auto" w:fill="auto"/>
            <w:noWrap w:val="0"/>
            <w:vAlign w:val="center"/>
          </w:tcPr>
          <w:p w14:paraId="71AC37D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1</w:t>
            </w:r>
          </w:p>
        </w:tc>
        <w:tc>
          <w:tcPr>
            <w:tcW w:w="1488" w:type="dxa"/>
            <w:shd w:val="clear" w:color="auto" w:fill="auto"/>
            <w:noWrap w:val="0"/>
            <w:vAlign w:val="center"/>
          </w:tcPr>
          <w:p w14:paraId="7FAB946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项目实施方案</w:t>
            </w:r>
          </w:p>
        </w:tc>
        <w:tc>
          <w:tcPr>
            <w:tcW w:w="6624" w:type="dxa"/>
            <w:shd w:val="clear" w:color="auto" w:fill="auto"/>
            <w:noWrap w:val="0"/>
            <w:vAlign w:val="center"/>
          </w:tcPr>
          <w:p w14:paraId="6FADFD0D">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根据招标要求，对供应商提供的项目实施方案进行评价：</w:t>
            </w:r>
          </w:p>
          <w:p w14:paraId="7588DEEA">
            <w:pPr>
              <w:widowControl/>
              <w:numPr>
                <w:ilvl w:val="0"/>
                <w:numId w:val="0"/>
              </w:numPr>
              <w:spacing w:line="240" w:lineRule="atLeast"/>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w:t>
            </w:r>
            <w:r>
              <w:rPr>
                <w:rFonts w:hint="eastAsia" w:ascii="宋体" w:hAnsi="宋体" w:eastAsia="宋体" w:cs="宋体"/>
                <w:color w:val="auto"/>
                <w:sz w:val="24"/>
                <w:szCs w:val="24"/>
              </w:rPr>
              <w:t>项目实施方案</w:t>
            </w:r>
            <w:r>
              <w:rPr>
                <w:rFonts w:hint="eastAsia" w:ascii="宋体" w:hAnsi="宋体" w:eastAsia="宋体" w:cs="宋体"/>
                <w:color w:val="auto"/>
                <w:sz w:val="24"/>
                <w:szCs w:val="24"/>
                <w:lang w:eastAsia="zh-CN"/>
              </w:rPr>
              <w:t>安排</w:t>
            </w:r>
            <w:r>
              <w:rPr>
                <w:rFonts w:hint="eastAsia" w:ascii="宋体" w:hAnsi="宋体" w:eastAsia="宋体" w:cs="宋体"/>
                <w:b w:val="0"/>
                <w:bCs/>
                <w:color w:val="auto"/>
                <w:sz w:val="24"/>
                <w:szCs w:val="24"/>
                <w:lang w:val="zh-CN"/>
              </w:rPr>
              <w:t>非常合理，项目验收方案非常详细，质量保证及文明措施非常完善、系统全面，可行性非常强的得</w:t>
            </w: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lang w:val="zh-CN"/>
              </w:rPr>
              <w:t>分；</w:t>
            </w:r>
          </w:p>
          <w:p w14:paraId="2036BFAD">
            <w:pPr>
              <w:widowControl/>
              <w:numPr>
                <w:ilvl w:val="0"/>
                <w:numId w:val="0"/>
              </w:numPr>
              <w:spacing w:line="240" w:lineRule="atLeast"/>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color w:val="auto"/>
                <w:sz w:val="24"/>
                <w:szCs w:val="24"/>
              </w:rPr>
              <w:t>项目实施方案</w:t>
            </w:r>
            <w:r>
              <w:rPr>
                <w:rFonts w:hint="eastAsia" w:ascii="宋体" w:hAnsi="宋体" w:eastAsia="宋体" w:cs="宋体"/>
                <w:color w:val="auto"/>
                <w:sz w:val="24"/>
                <w:szCs w:val="24"/>
                <w:lang w:eastAsia="zh-CN"/>
              </w:rPr>
              <w:t>安排</w:t>
            </w:r>
            <w:r>
              <w:rPr>
                <w:rFonts w:hint="eastAsia" w:ascii="宋体" w:hAnsi="宋体" w:eastAsia="宋体" w:cs="宋体"/>
                <w:b w:val="0"/>
                <w:bCs/>
                <w:color w:val="auto"/>
                <w:sz w:val="24"/>
                <w:szCs w:val="24"/>
                <w:lang w:val="zh-CN"/>
              </w:rPr>
              <w:t>较为合理，项目验收方案详细，质量保证及文明措施较为完善、系统全面，可行性较强的得</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lang w:val="zh-CN"/>
              </w:rPr>
              <w:t>分；</w:t>
            </w:r>
          </w:p>
          <w:p w14:paraId="06F03F7D">
            <w:pPr>
              <w:widowControl/>
              <w:numPr>
                <w:ilvl w:val="0"/>
                <w:numId w:val="0"/>
              </w:numPr>
              <w:spacing w:line="240" w:lineRule="atLeast"/>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color w:val="auto"/>
                <w:sz w:val="24"/>
                <w:szCs w:val="24"/>
              </w:rPr>
              <w:t>项目实施方案</w:t>
            </w:r>
            <w:r>
              <w:rPr>
                <w:rFonts w:hint="eastAsia" w:ascii="宋体" w:hAnsi="宋体" w:eastAsia="宋体" w:cs="宋体"/>
                <w:b w:val="0"/>
                <w:bCs/>
                <w:color w:val="auto"/>
                <w:sz w:val="24"/>
                <w:szCs w:val="24"/>
                <w:lang w:val="zh-CN"/>
              </w:rPr>
              <w:t>安排基本合理，项目验收方案不太详细，质量保证及文明措施基本完善，具有一定可行性的得</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分；</w:t>
            </w:r>
          </w:p>
          <w:p w14:paraId="112986A7">
            <w:pPr>
              <w:widowControl/>
              <w:numPr>
                <w:ilvl w:val="0"/>
                <w:numId w:val="0"/>
              </w:numPr>
              <w:spacing w:line="240" w:lineRule="atLeast"/>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eastAsia="宋体" w:cs="宋体"/>
                <w:color w:val="auto"/>
                <w:sz w:val="24"/>
                <w:szCs w:val="24"/>
              </w:rPr>
              <w:t>项目实施方案</w:t>
            </w:r>
            <w:r>
              <w:rPr>
                <w:rFonts w:hint="eastAsia" w:ascii="宋体" w:hAnsi="宋体" w:eastAsia="宋体" w:cs="宋体"/>
                <w:snapToGrid w:val="0"/>
                <w:color w:val="auto"/>
                <w:kern w:val="0"/>
                <w:sz w:val="24"/>
                <w:szCs w:val="24"/>
                <w:lang w:val="en-US" w:eastAsia="zh-CN" w:bidi="ar"/>
              </w:rPr>
              <w:t>内容欠缺，不完全符合项目实际情况，得1分；</w:t>
            </w:r>
          </w:p>
          <w:p w14:paraId="64C6B8A1">
            <w:pPr>
              <w:widowControl/>
              <w:numPr>
                <w:ilvl w:val="0"/>
                <w:numId w:val="0"/>
              </w:numPr>
              <w:spacing w:line="240" w:lineRule="atLeast"/>
              <w:jc w:val="left"/>
              <w:rPr>
                <w:rFonts w:hint="eastAsia" w:ascii="宋体" w:hAnsi="宋体" w:eastAsia="宋体" w:cs="宋体"/>
                <w:b w:val="0"/>
                <w:bCs/>
                <w:snapToGrid w:val="0"/>
                <w:color w:val="auto"/>
                <w:kern w:val="0"/>
                <w:sz w:val="24"/>
                <w:szCs w:val="24"/>
                <w:lang w:val="en-US" w:eastAsia="zh-CN" w:bidi="ar-SA"/>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lang w:val="zh-CN"/>
              </w:rPr>
              <w:t>未提供对应方案不得分。</w:t>
            </w:r>
          </w:p>
        </w:tc>
        <w:tc>
          <w:tcPr>
            <w:tcW w:w="634" w:type="dxa"/>
            <w:shd w:val="clear" w:color="auto" w:fill="auto"/>
            <w:noWrap w:val="0"/>
            <w:vAlign w:val="center"/>
          </w:tcPr>
          <w:p w14:paraId="438A08B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7</w:t>
            </w:r>
          </w:p>
        </w:tc>
      </w:tr>
      <w:tr w14:paraId="00430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shd w:val="clear" w:color="auto" w:fill="auto"/>
            <w:noWrap w:val="0"/>
            <w:vAlign w:val="center"/>
          </w:tcPr>
          <w:p w14:paraId="3B22AD0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2</w:t>
            </w:r>
          </w:p>
        </w:tc>
        <w:tc>
          <w:tcPr>
            <w:tcW w:w="1488" w:type="dxa"/>
            <w:shd w:val="clear" w:color="auto" w:fill="auto"/>
            <w:noWrap w:val="0"/>
            <w:vAlign w:val="center"/>
          </w:tcPr>
          <w:p w14:paraId="544EDDD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售后服务</w:t>
            </w:r>
          </w:p>
        </w:tc>
        <w:tc>
          <w:tcPr>
            <w:tcW w:w="6624" w:type="dxa"/>
            <w:shd w:val="clear" w:color="auto" w:fill="auto"/>
            <w:noWrap w:val="0"/>
            <w:vAlign w:val="center"/>
          </w:tcPr>
          <w:p w14:paraId="117AA517">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在满足招标文件要求的售后服务前提下，对供应商提供的售后服务承诺进行综合评价：</w:t>
            </w:r>
          </w:p>
          <w:p w14:paraId="4FE1F4B5">
            <w:pPr>
              <w:keepNext w:val="0"/>
              <w:keepLines w:val="0"/>
              <w:widowControl/>
              <w:numPr>
                <w:ilvl w:val="0"/>
                <w:numId w:val="0"/>
              </w:numPr>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售后服务</w:t>
            </w:r>
            <w:r>
              <w:rPr>
                <w:rFonts w:hint="eastAsia" w:ascii="宋体" w:hAnsi="宋体" w:eastAsia="宋体" w:cs="宋体"/>
                <w:snapToGrid w:val="0"/>
                <w:color w:val="auto"/>
                <w:kern w:val="0"/>
                <w:sz w:val="24"/>
                <w:szCs w:val="24"/>
                <w:lang w:val="en-US" w:eastAsia="zh-CN" w:bidi="ar"/>
              </w:rPr>
              <w:t>内容全面充分、</w:t>
            </w:r>
            <w:r>
              <w:rPr>
                <w:rFonts w:hint="eastAsia" w:ascii="宋体" w:hAnsi="宋体" w:eastAsia="宋体" w:cs="宋体"/>
                <w:snapToGrid w:val="0"/>
                <w:color w:val="auto"/>
                <w:kern w:val="0"/>
                <w:sz w:val="24"/>
                <w:szCs w:val="24"/>
                <w:lang w:val="zh-CN" w:eastAsia="zh-CN" w:bidi="ar"/>
              </w:rPr>
              <w:t>方案详细完善、科学合理、切实可行，高效优质、</w:t>
            </w:r>
            <w:r>
              <w:rPr>
                <w:rFonts w:hint="eastAsia" w:ascii="宋体" w:hAnsi="宋体" w:eastAsia="宋体" w:cs="宋体"/>
                <w:snapToGrid w:val="0"/>
                <w:color w:val="auto"/>
                <w:kern w:val="0"/>
                <w:sz w:val="24"/>
                <w:szCs w:val="24"/>
                <w:lang w:val="en-US" w:eastAsia="zh-CN" w:bidi="ar"/>
              </w:rPr>
              <w:t>表述清晰明确，得7分；</w:t>
            </w:r>
          </w:p>
          <w:p w14:paraId="3658FEA6">
            <w:pPr>
              <w:keepNext w:val="0"/>
              <w:keepLines w:val="0"/>
              <w:widowControl/>
              <w:numPr>
                <w:ilvl w:val="0"/>
                <w:numId w:val="0"/>
              </w:numPr>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2.</w:t>
            </w:r>
            <w:r>
              <w:rPr>
                <w:rFonts w:hint="eastAsia" w:ascii="宋体" w:hAnsi="宋体" w:eastAsia="宋体" w:cs="宋体"/>
                <w:color w:val="auto"/>
                <w:sz w:val="24"/>
                <w:szCs w:val="24"/>
              </w:rPr>
              <w:t>售后服务</w:t>
            </w:r>
            <w:r>
              <w:rPr>
                <w:rFonts w:hint="eastAsia" w:ascii="宋体" w:hAnsi="宋体" w:eastAsia="宋体" w:cs="宋体"/>
                <w:snapToGrid w:val="0"/>
                <w:color w:val="auto"/>
                <w:kern w:val="0"/>
                <w:sz w:val="24"/>
                <w:szCs w:val="24"/>
                <w:lang w:val="en-US" w:eastAsia="zh-CN" w:bidi="ar"/>
              </w:rPr>
              <w:t>内容较充分、</w:t>
            </w:r>
            <w:r>
              <w:rPr>
                <w:rFonts w:hint="eastAsia" w:ascii="宋体" w:hAnsi="宋体" w:eastAsia="宋体" w:cs="宋体"/>
                <w:snapToGrid w:val="0"/>
                <w:color w:val="auto"/>
                <w:kern w:val="0"/>
                <w:sz w:val="24"/>
                <w:szCs w:val="24"/>
                <w:lang w:val="zh-CN" w:eastAsia="zh-CN" w:bidi="ar"/>
              </w:rPr>
              <w:t>方案较完善、合理、可行，</w:t>
            </w:r>
            <w:r>
              <w:rPr>
                <w:rFonts w:hint="eastAsia" w:ascii="宋体" w:hAnsi="宋体" w:eastAsia="宋体" w:cs="宋体"/>
                <w:snapToGrid w:val="0"/>
                <w:color w:val="auto"/>
                <w:kern w:val="0"/>
                <w:sz w:val="24"/>
                <w:szCs w:val="24"/>
                <w:lang w:val="en-US" w:eastAsia="zh-CN" w:bidi="ar"/>
              </w:rPr>
              <w:t>得5分；</w:t>
            </w:r>
          </w:p>
          <w:p w14:paraId="084646E3">
            <w:pPr>
              <w:keepNext w:val="0"/>
              <w:keepLines w:val="0"/>
              <w:widowControl/>
              <w:numPr>
                <w:ilvl w:val="0"/>
                <w:numId w:val="0"/>
              </w:numPr>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3.</w:t>
            </w:r>
            <w:r>
              <w:rPr>
                <w:rFonts w:hint="eastAsia" w:ascii="宋体" w:hAnsi="宋体" w:eastAsia="宋体" w:cs="宋体"/>
                <w:color w:val="auto"/>
                <w:sz w:val="24"/>
                <w:szCs w:val="24"/>
              </w:rPr>
              <w:t>售后服务</w:t>
            </w:r>
            <w:r>
              <w:rPr>
                <w:rFonts w:hint="eastAsia" w:ascii="宋体" w:hAnsi="宋体" w:eastAsia="宋体" w:cs="宋体"/>
                <w:snapToGrid w:val="0"/>
                <w:color w:val="auto"/>
                <w:kern w:val="0"/>
                <w:sz w:val="24"/>
                <w:szCs w:val="24"/>
                <w:lang w:val="en-US" w:eastAsia="zh-CN" w:bidi="ar"/>
              </w:rPr>
              <w:t>内容基本可行、虽进行阐述但仅能部分满足需求</w:t>
            </w:r>
            <w:r>
              <w:rPr>
                <w:rFonts w:hint="eastAsia" w:ascii="宋体" w:hAnsi="宋体" w:eastAsia="宋体" w:cs="宋体"/>
                <w:snapToGrid w:val="0"/>
                <w:color w:val="auto"/>
                <w:kern w:val="0"/>
                <w:sz w:val="24"/>
                <w:szCs w:val="24"/>
                <w:lang w:val="zh-CN" w:eastAsia="zh-CN" w:bidi="ar"/>
              </w:rPr>
              <w:t>，</w:t>
            </w:r>
            <w:r>
              <w:rPr>
                <w:rFonts w:hint="eastAsia" w:ascii="宋体" w:hAnsi="宋体" w:eastAsia="宋体" w:cs="宋体"/>
                <w:snapToGrid w:val="0"/>
                <w:color w:val="auto"/>
                <w:kern w:val="0"/>
                <w:sz w:val="24"/>
                <w:szCs w:val="24"/>
                <w:lang w:val="en-US" w:eastAsia="zh-CN" w:bidi="ar"/>
              </w:rPr>
              <w:t>得3分；</w:t>
            </w:r>
          </w:p>
          <w:p w14:paraId="233BD8B3">
            <w:pPr>
              <w:keepNext w:val="0"/>
              <w:keepLines w:val="0"/>
              <w:widowControl/>
              <w:numPr>
                <w:ilvl w:val="0"/>
                <w:numId w:val="0"/>
              </w:numPr>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4.</w:t>
            </w:r>
            <w:r>
              <w:rPr>
                <w:rFonts w:hint="eastAsia" w:ascii="宋体" w:hAnsi="宋体" w:eastAsia="宋体" w:cs="宋体"/>
                <w:color w:val="auto"/>
                <w:sz w:val="24"/>
                <w:szCs w:val="24"/>
              </w:rPr>
              <w:t>售后服务</w:t>
            </w:r>
            <w:r>
              <w:rPr>
                <w:rFonts w:hint="eastAsia" w:ascii="宋体" w:hAnsi="宋体" w:eastAsia="宋体" w:cs="宋体"/>
                <w:snapToGrid w:val="0"/>
                <w:color w:val="auto"/>
                <w:kern w:val="0"/>
                <w:sz w:val="24"/>
                <w:szCs w:val="24"/>
                <w:lang w:val="en-US" w:eastAsia="zh-CN" w:bidi="ar"/>
              </w:rPr>
              <w:t>内容欠缺，不完全符合项目实际情况，得1分；</w:t>
            </w:r>
          </w:p>
          <w:p w14:paraId="4182F70D">
            <w:pPr>
              <w:keepNext w:val="0"/>
              <w:keepLines w:val="0"/>
              <w:widowControl/>
              <w:numPr>
                <w:ilvl w:val="0"/>
                <w:numId w:val="0"/>
              </w:numPr>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5.未提供相关方案不得分。</w:t>
            </w:r>
          </w:p>
        </w:tc>
        <w:tc>
          <w:tcPr>
            <w:tcW w:w="634" w:type="dxa"/>
            <w:shd w:val="clear" w:color="auto" w:fill="auto"/>
            <w:noWrap w:val="0"/>
            <w:vAlign w:val="center"/>
          </w:tcPr>
          <w:p w14:paraId="5A72C8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r>
      <w:tr w14:paraId="67C9F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shd w:val="clear" w:color="auto" w:fill="auto"/>
            <w:noWrap w:val="0"/>
            <w:vAlign w:val="center"/>
          </w:tcPr>
          <w:p w14:paraId="051B93C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3</w:t>
            </w:r>
          </w:p>
        </w:tc>
        <w:tc>
          <w:tcPr>
            <w:tcW w:w="1488" w:type="dxa"/>
            <w:shd w:val="clear" w:color="auto" w:fill="auto"/>
            <w:noWrap w:val="0"/>
            <w:vAlign w:val="center"/>
          </w:tcPr>
          <w:p w14:paraId="1C733CE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eastAsia="zh-CN"/>
              </w:rPr>
              <w:t>运行及培训</w:t>
            </w:r>
          </w:p>
        </w:tc>
        <w:tc>
          <w:tcPr>
            <w:tcW w:w="6624" w:type="dxa"/>
            <w:shd w:val="clear" w:color="auto" w:fill="auto"/>
            <w:noWrap w:val="0"/>
            <w:vAlign w:val="center"/>
          </w:tcPr>
          <w:p w14:paraId="431F36B9">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根据招标要求和投标技术响应情况，对供应商提供的运行及培训方案进行评价：</w:t>
            </w:r>
          </w:p>
          <w:p w14:paraId="3056865E">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1.提供的</w:t>
            </w:r>
            <w:r>
              <w:rPr>
                <w:rFonts w:hint="eastAsia" w:ascii="宋体" w:hAnsi="宋体" w:eastAsia="宋体" w:cs="宋体"/>
                <w:color w:val="auto"/>
                <w:sz w:val="24"/>
                <w:szCs w:val="24"/>
                <w:lang w:eastAsia="zh-CN"/>
              </w:rPr>
              <w:t>运行及培训</w:t>
            </w:r>
            <w:r>
              <w:rPr>
                <w:rFonts w:hint="eastAsia" w:ascii="宋体" w:hAnsi="宋体" w:eastAsia="宋体" w:cs="宋体"/>
                <w:snapToGrid w:val="0"/>
                <w:color w:val="auto"/>
                <w:kern w:val="0"/>
                <w:sz w:val="24"/>
                <w:szCs w:val="24"/>
                <w:lang w:val="en-US" w:eastAsia="zh-CN" w:bidi="ar"/>
              </w:rPr>
              <w:t>方案全面合理，安排科学，能正确理解培训要求，对其内容均进行详细阐述且满足采购需求，得7分；</w:t>
            </w:r>
          </w:p>
          <w:p w14:paraId="0756E05C">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2.提供的</w:t>
            </w:r>
            <w:r>
              <w:rPr>
                <w:rFonts w:hint="eastAsia" w:ascii="宋体" w:hAnsi="宋体" w:eastAsia="宋体" w:cs="宋体"/>
                <w:color w:val="auto"/>
                <w:sz w:val="24"/>
                <w:szCs w:val="24"/>
                <w:lang w:eastAsia="zh-CN"/>
              </w:rPr>
              <w:t>运行及培训</w:t>
            </w:r>
            <w:r>
              <w:rPr>
                <w:rFonts w:hint="eastAsia" w:ascii="宋体" w:hAnsi="宋体" w:eastAsia="宋体" w:cs="宋体"/>
                <w:snapToGrid w:val="0"/>
                <w:color w:val="auto"/>
                <w:kern w:val="0"/>
                <w:sz w:val="24"/>
                <w:szCs w:val="24"/>
                <w:lang w:val="en-US" w:eastAsia="zh-CN" w:bidi="ar"/>
              </w:rPr>
              <w:t>方案较完整，安排较合理，基本满足培训需求，对其内容均进行简单阐述，得5分；</w:t>
            </w:r>
          </w:p>
          <w:p w14:paraId="2A5391A5">
            <w:pPr>
              <w:keepNext w:val="0"/>
              <w:keepLines w:val="0"/>
              <w:widowControl/>
              <w:numPr>
                <w:ilvl w:val="0"/>
                <w:numId w:val="0"/>
              </w:numPr>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3.提供的</w:t>
            </w:r>
            <w:r>
              <w:rPr>
                <w:rFonts w:hint="eastAsia" w:ascii="宋体" w:hAnsi="宋体" w:eastAsia="宋体" w:cs="宋体"/>
                <w:color w:val="auto"/>
                <w:sz w:val="24"/>
                <w:szCs w:val="24"/>
                <w:lang w:eastAsia="zh-CN"/>
              </w:rPr>
              <w:t>运行及培训</w:t>
            </w:r>
            <w:r>
              <w:rPr>
                <w:rFonts w:hint="eastAsia" w:ascii="宋体" w:hAnsi="宋体" w:eastAsia="宋体" w:cs="宋体"/>
                <w:snapToGrid w:val="0"/>
                <w:color w:val="auto"/>
                <w:kern w:val="0"/>
                <w:sz w:val="24"/>
                <w:szCs w:val="24"/>
                <w:lang w:val="en-US" w:eastAsia="zh-CN" w:bidi="ar"/>
              </w:rPr>
              <w:t>方案基本完整，安排基本合理，虽进行阐述但仅能部分满足需求，得3分；</w:t>
            </w:r>
          </w:p>
          <w:p w14:paraId="5B0023EF">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4.提供的</w:t>
            </w:r>
            <w:r>
              <w:rPr>
                <w:rFonts w:hint="eastAsia" w:ascii="宋体" w:hAnsi="宋体" w:eastAsia="宋体" w:cs="宋体"/>
                <w:color w:val="auto"/>
                <w:sz w:val="24"/>
                <w:szCs w:val="24"/>
                <w:lang w:eastAsia="zh-CN"/>
              </w:rPr>
              <w:t>运行及培训</w:t>
            </w:r>
            <w:r>
              <w:rPr>
                <w:rFonts w:hint="eastAsia" w:ascii="宋体" w:hAnsi="宋体" w:eastAsia="宋体" w:cs="宋体"/>
                <w:snapToGrid w:val="0"/>
                <w:color w:val="auto"/>
                <w:kern w:val="0"/>
                <w:sz w:val="24"/>
                <w:szCs w:val="24"/>
                <w:lang w:val="en-US" w:eastAsia="zh-CN" w:bidi="ar"/>
              </w:rPr>
              <w:t>方案，不完全符合项目实际情况且未提供具体实施细节及措施，得1分；</w:t>
            </w:r>
          </w:p>
          <w:p w14:paraId="7E0F47F7">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5.未提供相关方案不得分。</w:t>
            </w:r>
          </w:p>
        </w:tc>
        <w:tc>
          <w:tcPr>
            <w:tcW w:w="634" w:type="dxa"/>
            <w:shd w:val="clear" w:color="auto" w:fill="auto"/>
            <w:noWrap w:val="0"/>
            <w:vAlign w:val="center"/>
          </w:tcPr>
          <w:p w14:paraId="216E336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r>
      <w:tr w14:paraId="53E3B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noWrap w:val="0"/>
            <w:vAlign w:val="center"/>
          </w:tcPr>
          <w:p w14:paraId="4C107B0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88" w:type="dxa"/>
            <w:shd w:val="clear" w:color="auto" w:fill="auto"/>
            <w:noWrap w:val="0"/>
            <w:vAlign w:val="center"/>
          </w:tcPr>
          <w:p w14:paraId="09525C3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安装调试方案</w:t>
            </w:r>
          </w:p>
        </w:tc>
        <w:tc>
          <w:tcPr>
            <w:tcW w:w="6624" w:type="dxa"/>
            <w:shd w:val="clear" w:color="auto" w:fill="auto"/>
            <w:noWrap w:val="0"/>
            <w:vAlign w:val="center"/>
          </w:tcPr>
          <w:p w14:paraId="7B27A2F8">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根据招标要求和投标技术响应情况，对供应商提供的安装调试方案进行评价：</w:t>
            </w:r>
          </w:p>
          <w:p w14:paraId="58354D80">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1.安装、调试方案进行了详细的阐述，能正确理解本项目安装调试需求，阐述思路清晰明确，具体实施细节及措施详细论述，满足采购需求，得6分；</w:t>
            </w:r>
          </w:p>
          <w:p w14:paraId="3EA044F5">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2.安装、调试方案进行了简单阐述但并未贴合实际安装调试需求进行详细论述，或方案中缺少具体实施细节及措施，得4分；</w:t>
            </w:r>
          </w:p>
          <w:p w14:paraId="11B0D323">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3.安装、调试方案虽进行阐述但仅能部分满足需求，得2分；</w:t>
            </w:r>
          </w:p>
          <w:p w14:paraId="07BA4AD3">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4.安装、调试方案不完全符合项目实际情况且未提供具体实施细节及措施，得1分；</w:t>
            </w:r>
          </w:p>
          <w:p w14:paraId="12C40CE3">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5.</w:t>
            </w:r>
            <w:r>
              <w:rPr>
                <w:rFonts w:hint="eastAsia" w:ascii="宋体" w:hAnsi="宋体" w:eastAsia="宋体" w:cs="宋体"/>
                <w:snapToGrid w:val="0"/>
                <w:color w:val="auto"/>
                <w:kern w:val="0"/>
                <w:sz w:val="24"/>
                <w:szCs w:val="24"/>
                <w:lang w:val="en-US" w:eastAsia="en-US" w:bidi="ar"/>
              </w:rPr>
              <w:t>未提供</w:t>
            </w:r>
            <w:r>
              <w:rPr>
                <w:rFonts w:hint="eastAsia" w:ascii="宋体" w:hAnsi="宋体" w:eastAsia="宋体" w:cs="宋体"/>
                <w:snapToGrid w:val="0"/>
                <w:color w:val="auto"/>
                <w:kern w:val="0"/>
                <w:sz w:val="24"/>
                <w:szCs w:val="24"/>
                <w:lang w:val="en-US" w:eastAsia="zh-CN" w:bidi="ar"/>
              </w:rPr>
              <w:t>方案</w:t>
            </w:r>
            <w:r>
              <w:rPr>
                <w:rFonts w:hint="eastAsia" w:ascii="宋体" w:hAnsi="宋体" w:eastAsia="宋体" w:cs="宋体"/>
                <w:snapToGrid w:val="0"/>
                <w:color w:val="auto"/>
                <w:kern w:val="0"/>
                <w:sz w:val="24"/>
                <w:szCs w:val="24"/>
                <w:lang w:val="en-US" w:eastAsia="en-US" w:bidi="ar"/>
              </w:rPr>
              <w:t>的不得分。</w:t>
            </w:r>
          </w:p>
        </w:tc>
        <w:tc>
          <w:tcPr>
            <w:tcW w:w="634" w:type="dxa"/>
            <w:shd w:val="clear" w:color="auto" w:fill="auto"/>
            <w:noWrap w:val="0"/>
            <w:vAlign w:val="center"/>
          </w:tcPr>
          <w:p w14:paraId="23B5FE4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749F9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noWrap w:val="0"/>
            <w:vAlign w:val="center"/>
          </w:tcPr>
          <w:p w14:paraId="31020DF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88" w:type="dxa"/>
            <w:shd w:val="clear" w:color="auto" w:fill="auto"/>
            <w:noWrap w:val="0"/>
            <w:vAlign w:val="center"/>
          </w:tcPr>
          <w:p w14:paraId="07D6D07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技术先进性、可靠性</w:t>
            </w:r>
          </w:p>
        </w:tc>
        <w:tc>
          <w:tcPr>
            <w:tcW w:w="6624" w:type="dxa"/>
            <w:shd w:val="clear" w:color="auto" w:fill="auto"/>
            <w:noWrap w:val="0"/>
            <w:vAlign w:val="center"/>
          </w:tcPr>
          <w:p w14:paraId="272655DE">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根据招标要求和投标技术响应情况，对供应商提供的技术先进性、可靠性进行评价：</w:t>
            </w:r>
          </w:p>
          <w:p w14:paraId="076AE0E4">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1.产品配置完善、齐全、且技术先进、用材可靠、实用性强、耐用性高，得5分；</w:t>
            </w:r>
          </w:p>
          <w:p w14:paraId="2A4F380D">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2.产品配置较完善、具有一定的先进技术、用材较可靠、实用性较强、耐用性较高，得3分；</w:t>
            </w:r>
            <w:r>
              <w:rPr>
                <w:rFonts w:hint="eastAsia" w:ascii="宋体" w:hAnsi="宋体" w:eastAsia="宋体" w:cs="宋体"/>
                <w:snapToGrid w:val="0"/>
                <w:color w:val="auto"/>
                <w:kern w:val="0"/>
                <w:sz w:val="24"/>
                <w:szCs w:val="24"/>
                <w:lang w:val="en-US" w:eastAsia="zh-CN" w:bidi="ar"/>
              </w:rPr>
              <w:br w:type="textWrapping"/>
            </w:r>
            <w:r>
              <w:rPr>
                <w:rFonts w:hint="eastAsia" w:ascii="宋体" w:hAnsi="宋体" w:eastAsia="宋体" w:cs="宋体"/>
                <w:snapToGrid w:val="0"/>
                <w:color w:val="auto"/>
                <w:kern w:val="0"/>
                <w:sz w:val="24"/>
                <w:szCs w:val="24"/>
                <w:lang w:val="en-US" w:eastAsia="zh-CN" w:bidi="ar"/>
              </w:rPr>
              <w:t>3.产品配置基本齐全、用材满足要求、具备一定的实用性、耐用性，得1分；</w:t>
            </w:r>
            <w:r>
              <w:rPr>
                <w:rFonts w:hint="eastAsia" w:ascii="宋体" w:hAnsi="宋体" w:eastAsia="宋体" w:cs="宋体"/>
                <w:snapToGrid w:val="0"/>
                <w:color w:val="auto"/>
                <w:kern w:val="0"/>
                <w:sz w:val="24"/>
                <w:szCs w:val="24"/>
                <w:lang w:val="en-US" w:eastAsia="zh-CN" w:bidi="ar"/>
              </w:rPr>
              <w:br w:type="textWrapping"/>
            </w:r>
            <w:r>
              <w:rPr>
                <w:rFonts w:hint="eastAsia" w:ascii="宋体" w:hAnsi="宋体" w:eastAsia="宋体" w:cs="宋体"/>
                <w:snapToGrid w:val="0"/>
                <w:color w:val="auto"/>
                <w:kern w:val="0"/>
                <w:sz w:val="24"/>
                <w:szCs w:val="24"/>
                <w:lang w:val="en-US" w:eastAsia="zh-CN" w:bidi="ar"/>
              </w:rPr>
              <w:t>4.</w:t>
            </w:r>
            <w:r>
              <w:rPr>
                <w:rFonts w:hint="eastAsia" w:ascii="宋体" w:hAnsi="宋体" w:eastAsia="宋体" w:cs="宋体"/>
                <w:snapToGrid w:val="0"/>
                <w:color w:val="auto"/>
                <w:kern w:val="0"/>
                <w:sz w:val="24"/>
                <w:szCs w:val="24"/>
                <w:lang w:val="en-US" w:eastAsia="en-US" w:bidi="ar"/>
              </w:rPr>
              <w:t>未提供</w:t>
            </w:r>
            <w:r>
              <w:rPr>
                <w:rFonts w:hint="eastAsia" w:ascii="宋体" w:hAnsi="宋体" w:eastAsia="宋体" w:cs="宋体"/>
                <w:snapToGrid w:val="0"/>
                <w:color w:val="auto"/>
                <w:kern w:val="0"/>
                <w:sz w:val="24"/>
                <w:szCs w:val="24"/>
                <w:lang w:val="en-US" w:eastAsia="zh-CN" w:bidi="ar"/>
              </w:rPr>
              <w:t>方案</w:t>
            </w:r>
            <w:r>
              <w:rPr>
                <w:rFonts w:hint="eastAsia" w:ascii="宋体" w:hAnsi="宋体" w:eastAsia="宋体" w:cs="宋体"/>
                <w:snapToGrid w:val="0"/>
                <w:color w:val="auto"/>
                <w:kern w:val="0"/>
                <w:sz w:val="24"/>
                <w:szCs w:val="24"/>
                <w:lang w:val="en-US" w:eastAsia="en-US" w:bidi="ar"/>
              </w:rPr>
              <w:t>的不得分。</w:t>
            </w:r>
          </w:p>
        </w:tc>
        <w:tc>
          <w:tcPr>
            <w:tcW w:w="634" w:type="dxa"/>
            <w:shd w:val="clear" w:color="auto" w:fill="auto"/>
            <w:noWrap w:val="0"/>
            <w:vAlign w:val="center"/>
          </w:tcPr>
          <w:p w14:paraId="5BB6073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0C3DF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noWrap w:val="0"/>
            <w:vAlign w:val="center"/>
          </w:tcPr>
          <w:p w14:paraId="5BDCB81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88" w:type="dxa"/>
            <w:shd w:val="clear" w:color="auto" w:fill="auto"/>
            <w:noWrap w:val="0"/>
            <w:vAlign w:val="center"/>
          </w:tcPr>
          <w:p w14:paraId="7263B22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应急方案</w:t>
            </w:r>
          </w:p>
        </w:tc>
        <w:tc>
          <w:tcPr>
            <w:tcW w:w="6624" w:type="dxa"/>
            <w:shd w:val="clear" w:color="auto" w:fill="auto"/>
            <w:noWrap w:val="0"/>
            <w:vAlign w:val="center"/>
          </w:tcPr>
          <w:p w14:paraId="23C51E17">
            <w:pPr>
              <w:keepNext w:val="0"/>
              <w:keepLines w:val="0"/>
              <w:widowControl/>
              <w:suppressLineNumbers w:val="0"/>
              <w:jc w:val="left"/>
              <w:rPr>
                <w:rFonts w:hint="eastAsia" w:ascii="宋体" w:hAnsi="宋体" w:eastAsia="宋体" w:cs="宋体"/>
                <w:snapToGrid w:val="0"/>
                <w:color w:val="auto"/>
                <w:kern w:val="0"/>
                <w:sz w:val="24"/>
                <w:szCs w:val="24"/>
                <w:lang w:val="en-US" w:eastAsia="en-US" w:bidi="ar"/>
              </w:rPr>
            </w:pPr>
            <w:r>
              <w:rPr>
                <w:rFonts w:hint="eastAsia" w:ascii="宋体" w:hAnsi="宋体" w:eastAsia="宋体" w:cs="宋体"/>
                <w:snapToGrid w:val="0"/>
                <w:color w:val="auto"/>
                <w:kern w:val="0"/>
                <w:sz w:val="24"/>
                <w:szCs w:val="24"/>
                <w:lang w:val="en-US" w:eastAsia="en-US" w:bidi="ar"/>
              </w:rPr>
              <w:t>根据院方突发情况制定</w:t>
            </w:r>
            <w:r>
              <w:rPr>
                <w:rFonts w:hint="eastAsia" w:ascii="宋体" w:hAnsi="宋体" w:eastAsia="宋体" w:cs="宋体"/>
                <w:snapToGrid w:val="0"/>
                <w:color w:val="auto"/>
                <w:kern w:val="0"/>
                <w:sz w:val="24"/>
                <w:szCs w:val="24"/>
                <w:lang w:val="en-US" w:eastAsia="zh-CN" w:bidi="ar"/>
              </w:rPr>
              <w:t>相应应急方案</w:t>
            </w:r>
            <w:r>
              <w:rPr>
                <w:rFonts w:hint="eastAsia" w:ascii="宋体" w:hAnsi="宋体" w:eastAsia="宋体" w:cs="宋体"/>
                <w:snapToGrid w:val="0"/>
                <w:color w:val="auto"/>
                <w:kern w:val="0"/>
                <w:sz w:val="24"/>
                <w:szCs w:val="24"/>
                <w:lang w:val="en-US" w:eastAsia="en-US" w:bidi="ar"/>
              </w:rPr>
              <w:t>：</w:t>
            </w:r>
          </w:p>
          <w:p w14:paraId="31C232AA">
            <w:pPr>
              <w:keepNext w:val="0"/>
              <w:keepLines w:val="0"/>
              <w:widowControl/>
              <w:suppressLineNumbers w:val="0"/>
              <w:jc w:val="left"/>
              <w:rPr>
                <w:rFonts w:hint="eastAsia" w:ascii="宋体" w:hAnsi="宋体" w:eastAsia="宋体" w:cs="宋体"/>
                <w:snapToGrid w:val="0"/>
                <w:color w:val="auto"/>
                <w:kern w:val="0"/>
                <w:sz w:val="24"/>
                <w:szCs w:val="24"/>
                <w:lang w:val="en-US" w:eastAsia="en-US" w:bidi="ar"/>
              </w:rPr>
            </w:pPr>
            <w:r>
              <w:rPr>
                <w:rFonts w:hint="eastAsia" w:ascii="宋体" w:hAnsi="宋体" w:eastAsia="宋体" w:cs="宋体"/>
                <w:snapToGrid w:val="0"/>
                <w:color w:val="auto"/>
                <w:kern w:val="0"/>
                <w:sz w:val="24"/>
                <w:szCs w:val="24"/>
                <w:lang w:val="en-US" w:eastAsia="zh-CN" w:bidi="ar"/>
              </w:rPr>
              <w:t>1.应急方案</w:t>
            </w:r>
            <w:r>
              <w:rPr>
                <w:rFonts w:hint="eastAsia" w:ascii="宋体" w:hAnsi="宋体" w:eastAsia="宋体" w:cs="宋体"/>
                <w:snapToGrid w:val="0"/>
                <w:color w:val="auto"/>
                <w:kern w:val="0"/>
                <w:sz w:val="24"/>
                <w:szCs w:val="24"/>
                <w:lang w:val="en-US" w:eastAsia="en-US" w:bidi="ar"/>
              </w:rPr>
              <w:t>响应迅速、详细合理、针对性强、可行性高，能切实保障院方使用需求</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snapToGrid w:val="0"/>
                <w:color w:val="auto"/>
                <w:kern w:val="0"/>
                <w:sz w:val="24"/>
                <w:szCs w:val="24"/>
                <w:lang w:val="en-US" w:eastAsia="en-US" w:bidi="ar"/>
              </w:rPr>
              <w:t>得</w:t>
            </w:r>
            <w:r>
              <w:rPr>
                <w:rFonts w:hint="eastAsia" w:ascii="宋体" w:hAnsi="宋体" w:eastAsia="宋体" w:cs="宋体"/>
                <w:snapToGrid w:val="0"/>
                <w:color w:val="auto"/>
                <w:kern w:val="0"/>
                <w:sz w:val="24"/>
                <w:szCs w:val="24"/>
                <w:lang w:val="en-US" w:eastAsia="zh-CN" w:bidi="ar"/>
              </w:rPr>
              <w:t>4</w:t>
            </w:r>
            <w:r>
              <w:rPr>
                <w:rFonts w:hint="eastAsia" w:ascii="宋体" w:hAnsi="宋体" w:eastAsia="宋体" w:cs="宋体"/>
                <w:snapToGrid w:val="0"/>
                <w:color w:val="auto"/>
                <w:kern w:val="0"/>
                <w:sz w:val="24"/>
                <w:szCs w:val="24"/>
                <w:lang w:val="en-US" w:eastAsia="en-US" w:bidi="ar"/>
              </w:rPr>
              <w:t>分；</w:t>
            </w:r>
          </w:p>
          <w:p w14:paraId="640DA468">
            <w:pPr>
              <w:keepNext w:val="0"/>
              <w:keepLines w:val="0"/>
              <w:widowControl/>
              <w:suppressLineNumbers w:val="0"/>
              <w:jc w:val="left"/>
              <w:rPr>
                <w:rFonts w:hint="eastAsia" w:ascii="宋体" w:hAnsi="宋体" w:eastAsia="宋体" w:cs="宋体"/>
                <w:snapToGrid w:val="0"/>
                <w:color w:val="auto"/>
                <w:kern w:val="0"/>
                <w:sz w:val="24"/>
                <w:szCs w:val="24"/>
                <w:lang w:val="en-US" w:eastAsia="en-US" w:bidi="ar"/>
              </w:rPr>
            </w:pPr>
            <w:r>
              <w:rPr>
                <w:rFonts w:hint="eastAsia" w:ascii="宋体" w:hAnsi="宋体" w:eastAsia="宋体" w:cs="宋体"/>
                <w:snapToGrid w:val="0"/>
                <w:color w:val="auto"/>
                <w:kern w:val="0"/>
                <w:sz w:val="24"/>
                <w:szCs w:val="24"/>
                <w:lang w:val="en-US" w:eastAsia="zh-CN" w:bidi="ar"/>
              </w:rPr>
              <w:t>2.应急方案</w:t>
            </w:r>
            <w:r>
              <w:rPr>
                <w:rFonts w:hint="eastAsia" w:ascii="宋体" w:hAnsi="宋体" w:eastAsia="宋体" w:cs="宋体"/>
                <w:snapToGrid w:val="0"/>
                <w:color w:val="auto"/>
                <w:kern w:val="0"/>
                <w:sz w:val="24"/>
                <w:szCs w:val="24"/>
                <w:lang w:val="en-US" w:eastAsia="en-US" w:bidi="ar"/>
              </w:rPr>
              <w:t>响应较快、较详细、针对性较强</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snapToGrid w:val="0"/>
                <w:color w:val="auto"/>
                <w:kern w:val="0"/>
                <w:sz w:val="24"/>
                <w:szCs w:val="24"/>
                <w:lang w:val="en-US" w:eastAsia="en-US" w:bidi="ar"/>
              </w:rPr>
              <w:t>具有一定可行性，基本满足院方使用需求</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snapToGrid w:val="0"/>
                <w:color w:val="auto"/>
                <w:kern w:val="0"/>
                <w:sz w:val="24"/>
                <w:szCs w:val="24"/>
                <w:lang w:val="en-US" w:eastAsia="en-US" w:bidi="ar"/>
              </w:rPr>
              <w:t>得</w:t>
            </w:r>
            <w:r>
              <w:rPr>
                <w:rFonts w:hint="eastAsia" w:ascii="宋体" w:hAnsi="宋体" w:eastAsia="宋体" w:cs="宋体"/>
                <w:snapToGrid w:val="0"/>
                <w:color w:val="auto"/>
                <w:kern w:val="0"/>
                <w:sz w:val="24"/>
                <w:szCs w:val="24"/>
                <w:lang w:val="en-US" w:eastAsia="zh-CN" w:bidi="ar"/>
              </w:rPr>
              <w:t>2</w:t>
            </w:r>
            <w:r>
              <w:rPr>
                <w:rFonts w:hint="eastAsia" w:ascii="宋体" w:hAnsi="宋体" w:eastAsia="宋体" w:cs="宋体"/>
                <w:snapToGrid w:val="0"/>
                <w:color w:val="auto"/>
                <w:kern w:val="0"/>
                <w:sz w:val="24"/>
                <w:szCs w:val="24"/>
                <w:lang w:val="en-US" w:eastAsia="en-US" w:bidi="ar"/>
              </w:rPr>
              <w:t>分；</w:t>
            </w:r>
          </w:p>
          <w:p w14:paraId="5CC6D8AC">
            <w:pPr>
              <w:keepNext w:val="0"/>
              <w:keepLines w:val="0"/>
              <w:widowControl/>
              <w:suppressLineNumbers w:val="0"/>
              <w:jc w:val="left"/>
              <w:rPr>
                <w:rFonts w:hint="eastAsia" w:ascii="宋体" w:hAnsi="宋体" w:eastAsia="宋体" w:cs="宋体"/>
                <w:snapToGrid w:val="0"/>
                <w:color w:val="auto"/>
                <w:kern w:val="0"/>
                <w:sz w:val="24"/>
                <w:szCs w:val="24"/>
                <w:lang w:val="en-US" w:eastAsia="en-US" w:bidi="ar"/>
              </w:rPr>
            </w:pPr>
            <w:r>
              <w:rPr>
                <w:rFonts w:hint="eastAsia" w:ascii="宋体" w:hAnsi="宋体" w:eastAsia="宋体" w:cs="宋体"/>
                <w:snapToGrid w:val="0"/>
                <w:color w:val="auto"/>
                <w:kern w:val="0"/>
                <w:sz w:val="24"/>
                <w:szCs w:val="24"/>
                <w:lang w:val="en-US" w:eastAsia="zh-CN" w:bidi="ar"/>
              </w:rPr>
              <w:t>3.应急方案</w:t>
            </w:r>
            <w:r>
              <w:rPr>
                <w:rFonts w:hint="eastAsia" w:ascii="宋体" w:hAnsi="宋体" w:eastAsia="宋体" w:cs="宋体"/>
                <w:snapToGrid w:val="0"/>
                <w:color w:val="auto"/>
                <w:kern w:val="0"/>
                <w:sz w:val="24"/>
                <w:szCs w:val="24"/>
                <w:lang w:val="en-US" w:eastAsia="en-US" w:bidi="ar"/>
              </w:rPr>
              <w:t>响应较慢、粗略、针对性较差、可行性低，无法保障院方使用需求</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snapToGrid w:val="0"/>
                <w:color w:val="auto"/>
                <w:kern w:val="0"/>
                <w:sz w:val="24"/>
                <w:szCs w:val="24"/>
                <w:lang w:val="en-US" w:eastAsia="en-US" w:bidi="ar"/>
              </w:rPr>
              <w:t>得</w:t>
            </w:r>
            <w:r>
              <w:rPr>
                <w:rFonts w:hint="eastAsia" w:ascii="宋体" w:hAnsi="宋体" w:eastAsia="宋体" w:cs="宋体"/>
                <w:snapToGrid w:val="0"/>
                <w:color w:val="auto"/>
                <w:kern w:val="0"/>
                <w:sz w:val="24"/>
                <w:szCs w:val="24"/>
                <w:lang w:val="en-US" w:eastAsia="zh-CN" w:bidi="ar"/>
              </w:rPr>
              <w:t>1</w:t>
            </w:r>
            <w:r>
              <w:rPr>
                <w:rFonts w:hint="eastAsia" w:ascii="宋体" w:hAnsi="宋体" w:eastAsia="宋体" w:cs="宋体"/>
                <w:snapToGrid w:val="0"/>
                <w:color w:val="auto"/>
                <w:kern w:val="0"/>
                <w:sz w:val="24"/>
                <w:szCs w:val="24"/>
                <w:lang w:val="en-US" w:eastAsia="en-US" w:bidi="ar"/>
              </w:rPr>
              <w:t>分；</w:t>
            </w:r>
          </w:p>
          <w:p w14:paraId="22E8F59D">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4.</w:t>
            </w:r>
            <w:r>
              <w:rPr>
                <w:rFonts w:hint="eastAsia" w:ascii="宋体" w:hAnsi="宋体" w:eastAsia="宋体" w:cs="宋体"/>
                <w:snapToGrid w:val="0"/>
                <w:color w:val="auto"/>
                <w:kern w:val="0"/>
                <w:sz w:val="24"/>
                <w:szCs w:val="24"/>
                <w:lang w:val="en-US" w:eastAsia="en-US" w:bidi="ar"/>
              </w:rPr>
              <w:t>未提供</w:t>
            </w:r>
            <w:r>
              <w:rPr>
                <w:rFonts w:hint="eastAsia" w:ascii="宋体" w:hAnsi="宋体" w:eastAsia="宋体" w:cs="宋体"/>
                <w:snapToGrid w:val="0"/>
                <w:color w:val="auto"/>
                <w:kern w:val="0"/>
                <w:sz w:val="24"/>
                <w:szCs w:val="24"/>
                <w:lang w:val="en-US" w:eastAsia="zh-CN" w:bidi="ar"/>
              </w:rPr>
              <w:t>应急方案</w:t>
            </w:r>
            <w:r>
              <w:rPr>
                <w:rFonts w:hint="eastAsia" w:ascii="宋体" w:hAnsi="宋体" w:eastAsia="宋体" w:cs="宋体"/>
                <w:snapToGrid w:val="0"/>
                <w:color w:val="auto"/>
                <w:kern w:val="0"/>
                <w:sz w:val="24"/>
                <w:szCs w:val="24"/>
                <w:lang w:val="en-US" w:eastAsia="en-US" w:bidi="ar"/>
              </w:rPr>
              <w:t>的不得分。</w:t>
            </w:r>
          </w:p>
        </w:tc>
        <w:tc>
          <w:tcPr>
            <w:tcW w:w="634" w:type="dxa"/>
            <w:shd w:val="clear" w:color="auto" w:fill="auto"/>
            <w:noWrap w:val="0"/>
            <w:vAlign w:val="center"/>
          </w:tcPr>
          <w:p w14:paraId="7F89C9A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r>
      <w:tr w14:paraId="62B43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1" w:type="dxa"/>
            <w:gridSpan w:val="3"/>
            <w:vAlign w:val="center"/>
          </w:tcPr>
          <w:p w14:paraId="4D2E8B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634" w:type="dxa"/>
            <w:vAlign w:val="center"/>
          </w:tcPr>
          <w:p w14:paraId="14216E0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7679B330">
      <w:pPr>
        <w:bidi w:val="0"/>
        <w:outlineLvl w:val="9"/>
        <w:rPr>
          <w:rFonts w:hint="eastAsia" w:ascii="宋体" w:hAnsi="宋体" w:eastAsia="宋体" w:cs="宋体"/>
          <w:b/>
          <w:bCs/>
          <w:color w:val="auto"/>
          <w:sz w:val="24"/>
          <w:szCs w:val="24"/>
        </w:rPr>
      </w:pPr>
    </w:p>
    <w:p w14:paraId="7DAD782E">
      <w:pPr>
        <w:bidi w:val="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3.3.3 评标委员会在评审时，价格分扣除（如有以下任意一种情况，须在开标一览表中明确标注，否则不予扣除。）：</w:t>
      </w:r>
    </w:p>
    <w:p w14:paraId="5FAEEFF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63E717E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1AB3FB7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（3）投标产品同时列入上述多个清单的，将上述规定的价格扣除比例叠加后计算价格扣除。</w:t>
      </w:r>
    </w:p>
    <w:p w14:paraId="1EBAC64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（4）根据《进一步加大政府采购支持中小企业力度的通知》（财库[2022]19号）规定，</w:t>
      </w:r>
      <w:r>
        <w:rPr>
          <w:rFonts w:hint="eastAsia" w:ascii="宋体" w:hAnsi="宋体" w:eastAsia="宋体" w:cs="宋体"/>
          <w:b/>
          <w:bCs/>
          <w:color w:val="auto"/>
          <w:sz w:val="24"/>
          <w:szCs w:val="24"/>
        </w:rPr>
        <w:t>对小型和微型企业的产品给予10%的价格扣除，并按照扣除后的价格参加评审。</w:t>
      </w:r>
    </w:p>
    <w:p w14:paraId="28F1992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（5）监狱企业视同小型、微型企业，监狱企业投标的提供省级以上监狱管理局、戒毒管理局(含新疆生产建设兵团)出具的属于监狱企业的证明文件，不再提供《中小企业声明函》；</w:t>
      </w:r>
    </w:p>
    <w:p w14:paraId="4146F8C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（6）残疾人福利性单位视同小型、微型企业，残疾人福利性单位属于小型、微型企业的，不重复享受政策。符合条件的残疾人福利性单位在参加政府采购活动时，应当提供《残疾人福利性单位声明函》。</w:t>
      </w:r>
    </w:p>
    <w:p w14:paraId="088431F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761A8839">
      <w:pPr>
        <w:spacing w:before="180" w:line="219" w:lineRule="auto"/>
        <w:ind w:left="15"/>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3.4</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编写评标报告，推荐中标候选人名单：3名。</w:t>
      </w:r>
    </w:p>
    <w:p w14:paraId="3C6A7A27">
      <w:pPr>
        <w:outlineLvl w:val="9"/>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br w:type="page"/>
      </w:r>
    </w:p>
    <w:p w14:paraId="6E53B663">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b/>
          <w:bCs w:val="0"/>
          <w:color w:val="auto"/>
          <w:sz w:val="32"/>
          <w:szCs w:val="32"/>
        </w:rPr>
      </w:pPr>
      <w:bookmarkStart w:id="36" w:name="_Toc12484"/>
      <w:bookmarkStart w:id="37" w:name="_Toc12764"/>
      <w:r>
        <w:rPr>
          <w:rFonts w:hint="eastAsia"/>
          <w:b/>
          <w:bCs w:val="0"/>
          <w:color w:val="auto"/>
          <w:sz w:val="32"/>
          <w:szCs w:val="32"/>
        </w:rPr>
        <w:t>第四章 合同条款（参考格式）</w:t>
      </w:r>
      <w:bookmarkEnd w:id="36"/>
      <w:bookmarkEnd w:id="37"/>
    </w:p>
    <w:p w14:paraId="19E54855">
      <w:pPr>
        <w:spacing w:line="360" w:lineRule="auto"/>
        <w:ind w:firstLine="480" w:firstLineChars="200"/>
        <w:jc w:val="both"/>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eastAsia="zh-CN"/>
        </w:rPr>
        <w:t>以下合同模版仅供参考，</w:t>
      </w:r>
      <w:r>
        <w:rPr>
          <w:rFonts w:hint="eastAsia" w:ascii="宋体" w:hAnsi="宋体" w:cs="宋体"/>
          <w:b/>
          <w:color w:val="auto"/>
          <w:sz w:val="24"/>
          <w:szCs w:val="24"/>
        </w:rPr>
        <w:t>实际合同以双方签订为准）</w:t>
      </w:r>
    </w:p>
    <w:p w14:paraId="2E0E9DEC">
      <w:pPr>
        <w:spacing w:before="243" w:line="225" w:lineRule="auto"/>
        <w:ind w:left="2897"/>
        <w:outlineLvl w:val="9"/>
        <w:rPr>
          <w:rFonts w:hint="eastAsia" w:ascii="宋体" w:hAnsi="宋体" w:eastAsia="宋体" w:cs="宋体"/>
          <w:color w:val="auto"/>
          <w:sz w:val="31"/>
          <w:szCs w:val="31"/>
        </w:rPr>
      </w:pPr>
      <w:r>
        <w:rPr>
          <w:rFonts w:hint="eastAsia" w:ascii="宋体" w:hAnsi="宋体" w:eastAsia="宋体" w:cs="宋体"/>
          <w:color w:val="auto"/>
          <w:spacing w:val="10"/>
          <w:sz w:val="31"/>
          <w:szCs w:val="31"/>
          <w14:textOutline w14:w="5793" w14:cap="sq" w14:cmpd="sng">
            <w14:solidFill>
              <w14:srgbClr w14:val="000000"/>
            </w14:solidFill>
            <w14:prstDash w14:val="solid"/>
            <w14:bevel/>
          </w14:textOutline>
        </w:rPr>
        <w:t>政府采购合同条款及格式</w:t>
      </w:r>
    </w:p>
    <w:p w14:paraId="0CA2EABD">
      <w:pPr>
        <w:spacing w:before="232" w:line="466" w:lineRule="exact"/>
        <w:ind w:left="494"/>
        <w:outlineLvl w:val="9"/>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合同编号：</w:t>
      </w:r>
    </w:p>
    <w:p w14:paraId="0F12558A">
      <w:pPr>
        <w:spacing w:before="1" w:line="222" w:lineRule="auto"/>
        <w:ind w:left="49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签订地点：</w:t>
      </w:r>
    </w:p>
    <w:p w14:paraId="2CD650C3">
      <w:pPr>
        <w:spacing w:before="177" w:line="221" w:lineRule="auto"/>
        <w:ind w:left="49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签订日期：</w:t>
      </w:r>
    </w:p>
    <w:p w14:paraId="23D22AA4">
      <w:pPr>
        <w:spacing w:before="182" w:line="219" w:lineRule="auto"/>
        <w:ind w:left="49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采购任务编号：</w:t>
      </w:r>
    </w:p>
    <w:p w14:paraId="36B060A3">
      <w:pPr>
        <w:spacing w:before="182" w:line="359" w:lineRule="auto"/>
        <w:ind w:left="14" w:right="92" w:firstLine="490"/>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（需方）需求的“</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z w:val="24"/>
          <w:szCs w:val="24"/>
        </w:rPr>
        <w:t>”（货物名称）经以编号为的招标文件在国内公开招</w:t>
      </w:r>
      <w:r>
        <w:rPr>
          <w:rFonts w:hint="eastAsia" w:ascii="宋体" w:hAnsi="宋体" w:eastAsia="宋体" w:cs="宋体"/>
          <w:color w:val="auto"/>
          <w:spacing w:val="-1"/>
          <w:sz w:val="24"/>
          <w:szCs w:val="24"/>
        </w:rPr>
        <w:t>标，经评标委员会评定（供方</w:t>
      </w:r>
      <w:r>
        <w:rPr>
          <w:rFonts w:hint="eastAsia" w:ascii="宋体" w:hAnsi="宋体" w:eastAsia="宋体" w:cs="宋体"/>
          <w:color w:val="auto"/>
          <w:spacing w:val="-19"/>
          <w:sz w:val="24"/>
          <w:szCs w:val="24"/>
        </w:rPr>
        <w:t>）（</w:t>
      </w:r>
      <w:r>
        <w:rPr>
          <w:rFonts w:hint="eastAsia" w:ascii="宋体" w:hAnsi="宋体" w:eastAsia="宋体" w:cs="宋体"/>
          <w:color w:val="auto"/>
          <w:spacing w:val="-1"/>
          <w:sz w:val="24"/>
          <w:szCs w:val="24"/>
        </w:rPr>
        <w:t>包号）为中标单位。供需双方按照《中华人民共和国合同法》和</w:t>
      </w:r>
      <w:r>
        <w:rPr>
          <w:rFonts w:hint="eastAsia" w:ascii="宋体" w:hAnsi="宋体" w:eastAsia="宋体" w:cs="宋体"/>
          <w:color w:val="auto"/>
          <w:spacing w:val="-2"/>
          <w:sz w:val="24"/>
          <w:szCs w:val="24"/>
        </w:rPr>
        <w:t>有关法律法规，遵循平等、自愿、公平和诚实信用原则，同意按照下面的条款和条件订立本合同，共同信守。</w:t>
      </w:r>
    </w:p>
    <w:p w14:paraId="0A8DE358">
      <w:pPr>
        <w:spacing w:before="181" w:line="219"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一、货物名称、产地、规格、数量</w:t>
      </w:r>
    </w:p>
    <w:p w14:paraId="7E7F9125">
      <w:pPr>
        <w:spacing w:line="147" w:lineRule="exact"/>
        <w:outlineLvl w:val="9"/>
        <w:rPr>
          <w:rFonts w:hint="eastAsia" w:ascii="宋体" w:hAnsi="宋体" w:eastAsia="宋体" w:cs="宋体"/>
          <w:color w:val="auto"/>
        </w:rPr>
      </w:pPr>
    </w:p>
    <w:tbl>
      <w:tblPr>
        <w:tblStyle w:val="16"/>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51"/>
        <w:gridCol w:w="2519"/>
        <w:gridCol w:w="899"/>
        <w:gridCol w:w="1259"/>
        <w:gridCol w:w="2008"/>
      </w:tblGrid>
      <w:tr w14:paraId="27EC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2" w:type="dxa"/>
            <w:tcBorders>
              <w:top w:val="single" w:color="000000" w:sz="2" w:space="0"/>
              <w:left w:val="single" w:color="000000" w:sz="2" w:space="0"/>
            </w:tcBorders>
            <w:vAlign w:val="top"/>
          </w:tcPr>
          <w:p w14:paraId="66D33299">
            <w:pPr>
              <w:pStyle w:val="17"/>
              <w:spacing w:before="81" w:line="219" w:lineRule="auto"/>
              <w:ind w:left="309"/>
              <w:outlineLvl w:val="9"/>
              <w:rPr>
                <w:rFonts w:hint="eastAsia" w:ascii="宋体" w:hAnsi="宋体" w:eastAsia="宋体" w:cs="宋体"/>
                <w:color w:val="auto"/>
              </w:rPr>
            </w:pPr>
            <w:r>
              <w:rPr>
                <w:rFonts w:hint="eastAsia" w:ascii="宋体" w:hAnsi="宋体" w:eastAsia="宋体" w:cs="宋体"/>
                <w:color w:val="auto"/>
                <w:spacing w:val="-4"/>
              </w:rPr>
              <w:t>货物名称</w:t>
            </w:r>
          </w:p>
        </w:tc>
        <w:tc>
          <w:tcPr>
            <w:tcW w:w="1151" w:type="dxa"/>
            <w:tcBorders>
              <w:top w:val="single" w:color="000000" w:sz="2" w:space="0"/>
            </w:tcBorders>
            <w:vAlign w:val="top"/>
          </w:tcPr>
          <w:p w14:paraId="2683E465">
            <w:pPr>
              <w:pStyle w:val="17"/>
              <w:spacing w:before="81" w:line="220" w:lineRule="auto"/>
              <w:ind w:left="457"/>
              <w:outlineLvl w:val="9"/>
              <w:rPr>
                <w:rFonts w:hint="eastAsia" w:ascii="宋体" w:hAnsi="宋体" w:eastAsia="宋体" w:cs="宋体"/>
                <w:color w:val="auto"/>
              </w:rPr>
            </w:pPr>
            <w:r>
              <w:rPr>
                <w:rFonts w:hint="eastAsia" w:ascii="宋体" w:hAnsi="宋体" w:eastAsia="宋体" w:cs="宋体"/>
                <w:color w:val="auto"/>
                <w:spacing w:val="-5"/>
              </w:rPr>
              <w:t>产地</w:t>
            </w:r>
          </w:p>
        </w:tc>
        <w:tc>
          <w:tcPr>
            <w:tcW w:w="2519" w:type="dxa"/>
            <w:tcBorders>
              <w:top w:val="single" w:color="000000" w:sz="2" w:space="0"/>
            </w:tcBorders>
            <w:vAlign w:val="top"/>
          </w:tcPr>
          <w:p w14:paraId="0A89B0E8">
            <w:pPr>
              <w:pStyle w:val="17"/>
              <w:spacing w:before="81" w:line="220" w:lineRule="auto"/>
              <w:ind w:left="1023"/>
              <w:outlineLvl w:val="9"/>
              <w:rPr>
                <w:rFonts w:hint="eastAsia" w:ascii="宋体" w:hAnsi="宋体" w:eastAsia="宋体" w:cs="宋体"/>
                <w:color w:val="auto"/>
              </w:rPr>
            </w:pPr>
            <w:r>
              <w:rPr>
                <w:rFonts w:hint="eastAsia" w:ascii="宋体" w:hAnsi="宋体" w:eastAsia="宋体" w:cs="宋体"/>
                <w:color w:val="auto"/>
                <w:spacing w:val="-6"/>
              </w:rPr>
              <w:t>规格</w:t>
            </w:r>
          </w:p>
        </w:tc>
        <w:tc>
          <w:tcPr>
            <w:tcW w:w="899" w:type="dxa"/>
            <w:tcBorders>
              <w:top w:val="single" w:color="000000" w:sz="2" w:space="0"/>
            </w:tcBorders>
            <w:vAlign w:val="top"/>
          </w:tcPr>
          <w:p w14:paraId="50BB893D">
            <w:pPr>
              <w:pStyle w:val="17"/>
              <w:spacing w:before="81" w:line="220" w:lineRule="auto"/>
              <w:ind w:left="216"/>
              <w:outlineLvl w:val="9"/>
              <w:rPr>
                <w:rFonts w:hint="eastAsia" w:ascii="宋体" w:hAnsi="宋体" w:eastAsia="宋体" w:cs="宋体"/>
                <w:color w:val="auto"/>
              </w:rPr>
            </w:pPr>
            <w:r>
              <w:rPr>
                <w:rFonts w:hint="eastAsia" w:ascii="宋体" w:hAnsi="宋体" w:eastAsia="宋体" w:cs="宋体"/>
                <w:color w:val="auto"/>
                <w:spacing w:val="-6"/>
              </w:rPr>
              <w:t>数量</w:t>
            </w:r>
          </w:p>
        </w:tc>
        <w:tc>
          <w:tcPr>
            <w:tcW w:w="1259" w:type="dxa"/>
            <w:tcBorders>
              <w:top w:val="single" w:color="000000" w:sz="2" w:space="0"/>
            </w:tcBorders>
            <w:vAlign w:val="top"/>
          </w:tcPr>
          <w:p w14:paraId="145C976B">
            <w:pPr>
              <w:pStyle w:val="17"/>
              <w:spacing w:before="80" w:line="219" w:lineRule="auto"/>
              <w:ind w:left="157"/>
              <w:outlineLvl w:val="9"/>
              <w:rPr>
                <w:rFonts w:hint="eastAsia" w:ascii="宋体" w:hAnsi="宋体" w:eastAsia="宋体" w:cs="宋体"/>
                <w:color w:val="auto"/>
              </w:rPr>
            </w:pPr>
            <w:r>
              <w:rPr>
                <w:rFonts w:hint="eastAsia" w:ascii="宋体" w:hAnsi="宋体" w:eastAsia="宋体" w:cs="宋体"/>
                <w:color w:val="auto"/>
                <w:spacing w:val="-3"/>
              </w:rPr>
              <w:t>单价(元)</w:t>
            </w:r>
          </w:p>
        </w:tc>
        <w:tc>
          <w:tcPr>
            <w:tcW w:w="2008" w:type="dxa"/>
            <w:tcBorders>
              <w:top w:val="single" w:color="000000" w:sz="2" w:space="0"/>
              <w:right w:val="single" w:color="000000" w:sz="2" w:space="0"/>
            </w:tcBorders>
            <w:vAlign w:val="top"/>
          </w:tcPr>
          <w:p w14:paraId="6908AB90">
            <w:pPr>
              <w:pStyle w:val="17"/>
              <w:spacing w:before="81" w:line="220" w:lineRule="auto"/>
              <w:ind w:left="295"/>
              <w:outlineLvl w:val="9"/>
              <w:rPr>
                <w:rFonts w:hint="eastAsia" w:ascii="宋体" w:hAnsi="宋体" w:eastAsia="宋体" w:cs="宋体"/>
                <w:color w:val="auto"/>
              </w:rPr>
            </w:pPr>
            <w:r>
              <w:rPr>
                <w:rFonts w:hint="eastAsia" w:ascii="宋体" w:hAnsi="宋体" w:eastAsia="宋体" w:cs="宋体"/>
                <w:color w:val="auto"/>
                <w:spacing w:val="-3"/>
              </w:rPr>
              <w:t>小计金额(元)</w:t>
            </w:r>
          </w:p>
        </w:tc>
      </w:tr>
      <w:tr w14:paraId="71898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52" w:type="dxa"/>
            <w:tcBorders>
              <w:left w:val="single" w:color="000000" w:sz="2" w:space="0"/>
            </w:tcBorders>
            <w:vAlign w:val="top"/>
          </w:tcPr>
          <w:p w14:paraId="053FE27E">
            <w:pPr>
              <w:outlineLvl w:val="9"/>
              <w:rPr>
                <w:rFonts w:hint="eastAsia" w:ascii="宋体" w:hAnsi="宋体" w:eastAsia="宋体" w:cs="宋体"/>
                <w:color w:val="auto"/>
                <w:sz w:val="21"/>
              </w:rPr>
            </w:pPr>
          </w:p>
        </w:tc>
        <w:tc>
          <w:tcPr>
            <w:tcW w:w="1151" w:type="dxa"/>
            <w:vAlign w:val="top"/>
          </w:tcPr>
          <w:p w14:paraId="405F4FF0">
            <w:pPr>
              <w:outlineLvl w:val="9"/>
              <w:rPr>
                <w:rFonts w:hint="eastAsia" w:ascii="宋体" w:hAnsi="宋体" w:eastAsia="宋体" w:cs="宋体"/>
                <w:color w:val="auto"/>
                <w:sz w:val="21"/>
              </w:rPr>
            </w:pPr>
          </w:p>
        </w:tc>
        <w:tc>
          <w:tcPr>
            <w:tcW w:w="2519" w:type="dxa"/>
            <w:vAlign w:val="top"/>
          </w:tcPr>
          <w:p w14:paraId="3529F373">
            <w:pPr>
              <w:outlineLvl w:val="9"/>
              <w:rPr>
                <w:rFonts w:hint="eastAsia" w:ascii="宋体" w:hAnsi="宋体" w:eastAsia="宋体" w:cs="宋体"/>
                <w:color w:val="auto"/>
                <w:sz w:val="21"/>
              </w:rPr>
            </w:pPr>
          </w:p>
        </w:tc>
        <w:tc>
          <w:tcPr>
            <w:tcW w:w="899" w:type="dxa"/>
            <w:vAlign w:val="top"/>
          </w:tcPr>
          <w:p w14:paraId="23F8E5B8">
            <w:pPr>
              <w:outlineLvl w:val="9"/>
              <w:rPr>
                <w:rFonts w:hint="eastAsia" w:ascii="宋体" w:hAnsi="宋体" w:eastAsia="宋体" w:cs="宋体"/>
                <w:color w:val="auto"/>
                <w:sz w:val="21"/>
              </w:rPr>
            </w:pPr>
          </w:p>
        </w:tc>
        <w:tc>
          <w:tcPr>
            <w:tcW w:w="1259" w:type="dxa"/>
            <w:vAlign w:val="top"/>
          </w:tcPr>
          <w:p w14:paraId="4D11F592">
            <w:pPr>
              <w:outlineLvl w:val="9"/>
              <w:rPr>
                <w:rFonts w:hint="eastAsia" w:ascii="宋体" w:hAnsi="宋体" w:eastAsia="宋体" w:cs="宋体"/>
                <w:color w:val="auto"/>
                <w:sz w:val="21"/>
              </w:rPr>
            </w:pPr>
          </w:p>
        </w:tc>
        <w:tc>
          <w:tcPr>
            <w:tcW w:w="2008" w:type="dxa"/>
            <w:tcBorders>
              <w:right w:val="single" w:color="000000" w:sz="2" w:space="0"/>
            </w:tcBorders>
            <w:vAlign w:val="top"/>
          </w:tcPr>
          <w:p w14:paraId="0948958E">
            <w:pPr>
              <w:outlineLvl w:val="9"/>
              <w:rPr>
                <w:rFonts w:hint="eastAsia" w:ascii="宋体" w:hAnsi="宋体" w:eastAsia="宋体" w:cs="宋体"/>
                <w:color w:val="auto"/>
                <w:sz w:val="21"/>
              </w:rPr>
            </w:pPr>
          </w:p>
        </w:tc>
      </w:tr>
      <w:tr w14:paraId="2B3E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2" w:type="dxa"/>
            <w:tcBorders>
              <w:left w:val="single" w:color="000000" w:sz="2" w:space="0"/>
            </w:tcBorders>
            <w:vAlign w:val="top"/>
          </w:tcPr>
          <w:p w14:paraId="2184980D">
            <w:pPr>
              <w:outlineLvl w:val="9"/>
              <w:rPr>
                <w:rFonts w:hint="eastAsia" w:ascii="宋体" w:hAnsi="宋体" w:eastAsia="宋体" w:cs="宋体"/>
                <w:color w:val="auto"/>
                <w:sz w:val="21"/>
              </w:rPr>
            </w:pPr>
          </w:p>
        </w:tc>
        <w:tc>
          <w:tcPr>
            <w:tcW w:w="1151" w:type="dxa"/>
            <w:vAlign w:val="top"/>
          </w:tcPr>
          <w:p w14:paraId="31393280">
            <w:pPr>
              <w:outlineLvl w:val="9"/>
              <w:rPr>
                <w:rFonts w:hint="eastAsia" w:ascii="宋体" w:hAnsi="宋体" w:eastAsia="宋体" w:cs="宋体"/>
                <w:color w:val="auto"/>
                <w:sz w:val="21"/>
              </w:rPr>
            </w:pPr>
          </w:p>
        </w:tc>
        <w:tc>
          <w:tcPr>
            <w:tcW w:w="2519" w:type="dxa"/>
            <w:vAlign w:val="top"/>
          </w:tcPr>
          <w:p w14:paraId="1BE9F117">
            <w:pPr>
              <w:outlineLvl w:val="9"/>
              <w:rPr>
                <w:rFonts w:hint="eastAsia" w:ascii="宋体" w:hAnsi="宋体" w:eastAsia="宋体" w:cs="宋体"/>
                <w:color w:val="auto"/>
                <w:sz w:val="21"/>
              </w:rPr>
            </w:pPr>
          </w:p>
        </w:tc>
        <w:tc>
          <w:tcPr>
            <w:tcW w:w="899" w:type="dxa"/>
            <w:vAlign w:val="top"/>
          </w:tcPr>
          <w:p w14:paraId="1295FB04">
            <w:pPr>
              <w:outlineLvl w:val="9"/>
              <w:rPr>
                <w:rFonts w:hint="eastAsia" w:ascii="宋体" w:hAnsi="宋体" w:eastAsia="宋体" w:cs="宋体"/>
                <w:color w:val="auto"/>
                <w:sz w:val="21"/>
              </w:rPr>
            </w:pPr>
          </w:p>
        </w:tc>
        <w:tc>
          <w:tcPr>
            <w:tcW w:w="1259" w:type="dxa"/>
            <w:vAlign w:val="top"/>
          </w:tcPr>
          <w:p w14:paraId="5724D8A7">
            <w:pPr>
              <w:outlineLvl w:val="9"/>
              <w:rPr>
                <w:rFonts w:hint="eastAsia" w:ascii="宋体" w:hAnsi="宋体" w:eastAsia="宋体" w:cs="宋体"/>
                <w:color w:val="auto"/>
                <w:sz w:val="21"/>
              </w:rPr>
            </w:pPr>
          </w:p>
        </w:tc>
        <w:tc>
          <w:tcPr>
            <w:tcW w:w="2008" w:type="dxa"/>
            <w:tcBorders>
              <w:right w:val="single" w:color="000000" w:sz="2" w:space="0"/>
            </w:tcBorders>
            <w:vAlign w:val="top"/>
          </w:tcPr>
          <w:p w14:paraId="741467D0">
            <w:pPr>
              <w:outlineLvl w:val="9"/>
              <w:rPr>
                <w:rFonts w:hint="eastAsia" w:ascii="宋体" w:hAnsi="宋体" w:eastAsia="宋体" w:cs="宋体"/>
                <w:color w:val="auto"/>
                <w:sz w:val="21"/>
              </w:rPr>
            </w:pPr>
          </w:p>
        </w:tc>
      </w:tr>
      <w:tr w14:paraId="4DD31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52" w:type="dxa"/>
            <w:tcBorders>
              <w:left w:val="single" w:color="000000" w:sz="2" w:space="0"/>
              <w:bottom w:val="single" w:color="000000" w:sz="2" w:space="0"/>
            </w:tcBorders>
            <w:vAlign w:val="top"/>
          </w:tcPr>
          <w:p w14:paraId="508DA48F">
            <w:pPr>
              <w:outlineLvl w:val="9"/>
              <w:rPr>
                <w:rFonts w:hint="eastAsia" w:ascii="宋体" w:hAnsi="宋体" w:eastAsia="宋体" w:cs="宋体"/>
                <w:color w:val="auto"/>
                <w:sz w:val="21"/>
              </w:rPr>
            </w:pPr>
          </w:p>
        </w:tc>
        <w:tc>
          <w:tcPr>
            <w:tcW w:w="1151" w:type="dxa"/>
            <w:tcBorders>
              <w:bottom w:val="single" w:color="000000" w:sz="2" w:space="0"/>
            </w:tcBorders>
            <w:vAlign w:val="top"/>
          </w:tcPr>
          <w:p w14:paraId="37C7F36B">
            <w:pPr>
              <w:outlineLvl w:val="9"/>
              <w:rPr>
                <w:rFonts w:hint="eastAsia" w:ascii="宋体" w:hAnsi="宋体" w:eastAsia="宋体" w:cs="宋体"/>
                <w:color w:val="auto"/>
                <w:sz w:val="21"/>
              </w:rPr>
            </w:pPr>
          </w:p>
        </w:tc>
        <w:tc>
          <w:tcPr>
            <w:tcW w:w="2519" w:type="dxa"/>
            <w:tcBorders>
              <w:bottom w:val="single" w:color="000000" w:sz="2" w:space="0"/>
            </w:tcBorders>
            <w:vAlign w:val="top"/>
          </w:tcPr>
          <w:p w14:paraId="1D34902A">
            <w:pPr>
              <w:outlineLvl w:val="9"/>
              <w:rPr>
                <w:rFonts w:hint="eastAsia" w:ascii="宋体" w:hAnsi="宋体" w:eastAsia="宋体" w:cs="宋体"/>
                <w:color w:val="auto"/>
                <w:sz w:val="21"/>
              </w:rPr>
            </w:pPr>
          </w:p>
        </w:tc>
        <w:tc>
          <w:tcPr>
            <w:tcW w:w="899" w:type="dxa"/>
            <w:tcBorders>
              <w:bottom w:val="single" w:color="000000" w:sz="2" w:space="0"/>
            </w:tcBorders>
            <w:vAlign w:val="top"/>
          </w:tcPr>
          <w:p w14:paraId="72A54A60">
            <w:pPr>
              <w:outlineLvl w:val="9"/>
              <w:rPr>
                <w:rFonts w:hint="eastAsia" w:ascii="宋体" w:hAnsi="宋体" w:eastAsia="宋体" w:cs="宋体"/>
                <w:color w:val="auto"/>
                <w:sz w:val="21"/>
              </w:rPr>
            </w:pPr>
          </w:p>
        </w:tc>
        <w:tc>
          <w:tcPr>
            <w:tcW w:w="1259" w:type="dxa"/>
            <w:tcBorders>
              <w:bottom w:val="single" w:color="000000" w:sz="2" w:space="0"/>
            </w:tcBorders>
            <w:vAlign w:val="top"/>
          </w:tcPr>
          <w:p w14:paraId="1B9F2C09">
            <w:pPr>
              <w:outlineLvl w:val="9"/>
              <w:rPr>
                <w:rFonts w:hint="eastAsia" w:ascii="宋体" w:hAnsi="宋体" w:eastAsia="宋体" w:cs="宋体"/>
                <w:color w:val="auto"/>
                <w:sz w:val="21"/>
              </w:rPr>
            </w:pPr>
          </w:p>
        </w:tc>
        <w:tc>
          <w:tcPr>
            <w:tcW w:w="2008" w:type="dxa"/>
            <w:tcBorders>
              <w:bottom w:val="single" w:color="000000" w:sz="2" w:space="0"/>
              <w:right w:val="single" w:color="000000" w:sz="2" w:space="0"/>
            </w:tcBorders>
            <w:vAlign w:val="top"/>
          </w:tcPr>
          <w:p w14:paraId="083FC0DE">
            <w:pPr>
              <w:outlineLvl w:val="9"/>
              <w:rPr>
                <w:rFonts w:hint="eastAsia" w:ascii="宋体" w:hAnsi="宋体" w:eastAsia="宋体" w:cs="宋体"/>
                <w:color w:val="auto"/>
                <w:sz w:val="21"/>
              </w:rPr>
            </w:pPr>
          </w:p>
        </w:tc>
      </w:tr>
    </w:tbl>
    <w:p w14:paraId="406DACF3">
      <w:pPr>
        <w:spacing w:before="34" w:line="219"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二、合同价款</w:t>
      </w:r>
    </w:p>
    <w:p w14:paraId="7F339757">
      <w:pPr>
        <w:spacing w:before="183" w:line="219" w:lineRule="auto"/>
        <w:ind w:left="49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合同总价：人民币（大写）元</w:t>
      </w:r>
      <w:r>
        <w:rPr>
          <w:rFonts w:hint="eastAsia" w:ascii="宋体" w:hAnsi="宋体" w:eastAsia="宋体" w:cs="宋体"/>
          <w:color w:val="auto"/>
          <w:spacing w:val="-23"/>
          <w:sz w:val="24"/>
          <w:szCs w:val="24"/>
        </w:rPr>
        <w:t>，（</w:t>
      </w:r>
      <w:r>
        <w:rPr>
          <w:rFonts w:hint="eastAsia" w:ascii="宋体" w:hAnsi="宋体" w:eastAsia="宋体" w:cs="宋体"/>
          <w:color w:val="auto"/>
          <w:spacing w:val="1"/>
          <w:sz w:val="24"/>
          <w:szCs w:val="24"/>
        </w:rPr>
        <w:t>小写）元。</w:t>
      </w:r>
    </w:p>
    <w:p w14:paraId="36446241">
      <w:pPr>
        <w:spacing w:before="184" w:line="466" w:lineRule="exact"/>
        <w:ind w:left="493"/>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三、交货地点及交货时间</w:t>
      </w:r>
    </w:p>
    <w:p w14:paraId="4577D427">
      <w:pPr>
        <w:spacing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交货时间及地点：</w:t>
      </w:r>
    </w:p>
    <w:p w14:paraId="7A9D0EFD">
      <w:pPr>
        <w:spacing w:before="184"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3.1.1</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交货期/合同履行期限：</w:t>
      </w:r>
      <w:r>
        <w:rPr>
          <w:rFonts w:hint="eastAsia" w:ascii="宋体" w:hAnsi="宋体" w:eastAsia="宋体" w:cs="宋体"/>
          <w:color w:val="auto"/>
          <w:spacing w:val="-1"/>
          <w:sz w:val="24"/>
          <w:szCs w:val="24"/>
        </w:rPr>
        <w:t>。</w:t>
      </w:r>
    </w:p>
    <w:p w14:paraId="1C30BAFA">
      <w:pPr>
        <w:spacing w:before="180" w:line="290" w:lineRule="auto"/>
        <w:ind w:left="515" w:right="7321" w:hanging="17"/>
        <w:outlineLvl w:val="9"/>
        <w:rPr>
          <w:rFonts w:hint="eastAsia" w:ascii="宋体" w:hAnsi="宋体" w:eastAsia="宋体" w:cs="宋体"/>
          <w:color w:val="auto"/>
          <w:spacing w:val="2"/>
          <w:position w:val="17"/>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3.1.2</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地点：</w:t>
      </w: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四、付款</w:t>
      </w:r>
      <w:r>
        <w:rPr>
          <w:rFonts w:hint="eastAsia" w:ascii="宋体" w:hAnsi="宋体" w:eastAsia="宋体" w:cs="宋体"/>
          <w:color w:val="auto"/>
          <w:spacing w:val="2"/>
          <w:position w:val="17"/>
          <w:sz w:val="24"/>
          <w:szCs w:val="24"/>
          <w:lang w:eastAsia="zh-CN"/>
          <w14:textOutline w14:w="4358" w14:cap="sq" w14:cmpd="sng">
            <w14:solidFill>
              <w14:srgbClr w14:val="000000"/>
            </w14:solidFill>
            <w14:prstDash w14:val="solid"/>
            <w14:bevel/>
          </w14:textOutline>
        </w:rPr>
        <w:t>：</w:t>
      </w:r>
    </w:p>
    <w:p w14:paraId="7E07B617">
      <w:pPr>
        <w:spacing w:before="180" w:line="468"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五、安装调试</w:t>
      </w:r>
      <w:r>
        <w:rPr>
          <w:rFonts w:hint="eastAsia" w:ascii="宋体" w:hAnsi="宋体" w:eastAsia="宋体" w:cs="宋体"/>
          <w:color w:val="auto"/>
          <w:spacing w:val="-16"/>
          <w:position w:val="17"/>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严格执行国家相关标准）</w:t>
      </w:r>
    </w:p>
    <w:p w14:paraId="0D60961F">
      <w:pPr>
        <w:spacing w:line="220" w:lineRule="auto"/>
        <w:ind w:left="495"/>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六、验收（严格执行国家相关标准）</w:t>
      </w:r>
    </w:p>
    <w:p w14:paraId="06DB9A1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1.乙方应在约定的期限内按甲方订货限期要求将产品送至甲方指定的地点。装车、运输、保险等费用由乙方承担。</w:t>
      </w:r>
    </w:p>
    <w:p w14:paraId="2B13D4A7">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2.乙方应按约定的数量交付产品。</w:t>
      </w:r>
    </w:p>
    <w:p w14:paraId="5DC8B353">
      <w:pPr>
        <w:spacing w:before="182" w:line="220" w:lineRule="auto"/>
        <w:ind w:left="492"/>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七、知识产权及有关规定</w:t>
      </w:r>
    </w:p>
    <w:p w14:paraId="4914DA44">
      <w:pPr>
        <w:spacing w:before="182" w:line="219" w:lineRule="auto"/>
        <w:ind w:left="49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7.1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供方应保证所供货物符合国家的有关规定。</w:t>
      </w:r>
    </w:p>
    <w:p w14:paraId="1F2B19A0">
      <w:pPr>
        <w:spacing w:before="181" w:line="220"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八、伴随服务</w:t>
      </w:r>
    </w:p>
    <w:p w14:paraId="42B189FB">
      <w:pPr>
        <w:spacing w:before="48"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供方还应提供下列服务：货物的运输、装车。</w:t>
      </w:r>
    </w:p>
    <w:p w14:paraId="5A7FC924">
      <w:pPr>
        <w:spacing w:before="182"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8.2</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rPr>
        <w:t>上述伴随服务的费用应包含在合同价中，不单独进行支付。</w:t>
      </w:r>
    </w:p>
    <w:p w14:paraId="1001A254">
      <w:pPr>
        <w:spacing w:before="181" w:line="220" w:lineRule="auto"/>
        <w:ind w:left="48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九、质量保证期及售后服务</w:t>
      </w:r>
    </w:p>
    <w:p w14:paraId="5E336497">
      <w:pPr>
        <w:spacing w:before="181" w:line="221"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9.1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3"/>
          <w:sz w:val="24"/>
          <w:szCs w:val="24"/>
        </w:rPr>
        <w:t>质量保证期：。</w:t>
      </w:r>
    </w:p>
    <w:p w14:paraId="6C7A2B0E">
      <w:pPr>
        <w:spacing w:before="178"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9.2</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售后服务：。</w:t>
      </w:r>
    </w:p>
    <w:p w14:paraId="614B669F">
      <w:pPr>
        <w:spacing w:before="183"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十、供方履约延误</w:t>
      </w:r>
    </w:p>
    <w:p w14:paraId="2BA9F183">
      <w:pPr>
        <w:spacing w:before="183"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10.1</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供方应按照合同规定的时间、地点交货和提供服务。</w:t>
      </w:r>
    </w:p>
    <w:p w14:paraId="638E3D03">
      <w:pPr>
        <w:spacing w:before="180" w:line="468" w:lineRule="exact"/>
        <w:ind w:right="61"/>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10.2</w:t>
      </w:r>
      <w:r>
        <w:rPr>
          <w:rFonts w:hint="eastAsia" w:ascii="宋体" w:hAnsi="宋体" w:eastAsia="宋体" w:cs="宋体"/>
          <w:color w:val="auto"/>
          <w:spacing w:val="-42"/>
          <w:position w:val="17"/>
          <w:sz w:val="24"/>
          <w:szCs w:val="24"/>
        </w:rPr>
        <w:t xml:space="preserve"> </w:t>
      </w:r>
      <w:r>
        <w:rPr>
          <w:rFonts w:hint="eastAsia" w:ascii="宋体" w:hAnsi="宋体" w:eastAsia="宋体" w:cs="宋体"/>
          <w:color w:val="auto"/>
          <w:spacing w:val="2"/>
          <w:position w:val="17"/>
          <w:sz w:val="24"/>
          <w:szCs w:val="24"/>
        </w:rPr>
        <w:t>如供方无正当理由拖延交货或不按投标文件提供服务，将受到以下制裁</w:t>
      </w:r>
      <w:r>
        <w:rPr>
          <w:rFonts w:hint="eastAsia" w:ascii="宋体" w:hAnsi="宋体" w:eastAsia="宋体" w:cs="宋体"/>
          <w:color w:val="auto"/>
          <w:spacing w:val="1"/>
          <w:position w:val="17"/>
          <w:sz w:val="24"/>
          <w:szCs w:val="24"/>
        </w:rPr>
        <w:t>：没收</w:t>
      </w:r>
    </w:p>
    <w:p w14:paraId="56ADDA19">
      <w:pPr>
        <w:spacing w:line="220" w:lineRule="auto"/>
        <w:ind w:left="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履约保证金、加收误期赔偿和／或违约终止合同。</w:t>
      </w:r>
    </w:p>
    <w:p w14:paraId="3D000B80">
      <w:pPr>
        <w:spacing w:before="181" w:line="359" w:lineRule="auto"/>
        <w:ind w:firstLine="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10.3</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2"/>
          <w:sz w:val="24"/>
          <w:szCs w:val="24"/>
        </w:rPr>
        <w:t>在履行合同过程中，如果供方遇到可能妨碍其按时交货和提供服务的情况，应</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及时以书面形式将拖延的事实，可能拖延的期限和理由通知需方。需方</w:t>
      </w:r>
      <w:r>
        <w:rPr>
          <w:rFonts w:hint="eastAsia" w:ascii="宋体" w:hAnsi="宋体" w:eastAsia="宋体" w:cs="宋体"/>
          <w:color w:val="auto"/>
          <w:spacing w:val="-7"/>
          <w:sz w:val="24"/>
          <w:szCs w:val="24"/>
        </w:rPr>
        <w:t>在收到供方通知后，</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应尽快对情况进行评价，并确定是否通过修改合同，酌情延长交货时间和/或延期提供服</w:t>
      </w:r>
      <w:r>
        <w:rPr>
          <w:rFonts w:hint="eastAsia" w:ascii="宋体" w:hAnsi="宋体" w:eastAsia="宋体" w:cs="宋体"/>
          <w:color w:val="auto"/>
          <w:spacing w:val="-2"/>
          <w:sz w:val="24"/>
          <w:szCs w:val="24"/>
        </w:rPr>
        <w:t>务，或者终止合同。</w:t>
      </w:r>
    </w:p>
    <w:p w14:paraId="00D47E53">
      <w:pPr>
        <w:spacing w:before="179"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十一、误期赔偿</w:t>
      </w:r>
    </w:p>
    <w:p w14:paraId="61772727">
      <w:pPr>
        <w:spacing w:before="181" w:line="359" w:lineRule="auto"/>
        <w:ind w:left="1" w:right="63" w:firstLine="496"/>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11.1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2"/>
          <w:sz w:val="24"/>
          <w:szCs w:val="24"/>
        </w:rPr>
        <w:t>除合同第</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14</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2"/>
          <w:sz w:val="24"/>
          <w:szCs w:val="24"/>
        </w:rPr>
        <w:t>条规定外，如果供方没有按照合</w:t>
      </w:r>
      <w:r>
        <w:rPr>
          <w:rFonts w:hint="eastAsia" w:ascii="宋体" w:hAnsi="宋体" w:eastAsia="宋体" w:cs="宋体"/>
          <w:color w:val="auto"/>
          <w:spacing w:val="-3"/>
          <w:sz w:val="24"/>
          <w:szCs w:val="24"/>
        </w:rPr>
        <w:t>同规定的时间交货和提供服务，供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方应向需方支付误期赔偿费。误期赔偿费每天按迟交货物的交货价或延期服务的服务费用</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的百分之一（1%）计收，直至交货或提供服务为止。一天按</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24</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小时计算，不足一天按一一天计算。但误期赔偿费的最高限额不超过合同价的百分之五（5%）。</w:t>
      </w:r>
    </w:p>
    <w:p w14:paraId="260A40B6">
      <w:pPr>
        <w:spacing w:before="184"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11.2</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误期赔偿费可从应付货款和/或履约保证金中扣除。</w:t>
      </w:r>
    </w:p>
    <w:p w14:paraId="69C316EF">
      <w:pPr>
        <w:spacing w:before="181"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11.3</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rPr>
        <w:t>收取误期赔偿费不影响需方采取合同</w:t>
      </w:r>
      <w:r>
        <w:rPr>
          <w:rFonts w:hint="eastAsia" w:ascii="宋体" w:hAnsi="宋体" w:eastAsia="宋体" w:cs="宋体"/>
          <w:color w:val="auto"/>
          <w:spacing w:val="-2"/>
          <w:sz w:val="24"/>
          <w:szCs w:val="24"/>
        </w:rPr>
        <w:t>规定的其他补救措施的权利。</w:t>
      </w:r>
    </w:p>
    <w:p w14:paraId="705B8EB5">
      <w:pPr>
        <w:spacing w:before="184" w:line="289" w:lineRule="auto"/>
        <w:ind w:left="481" w:right="2619" w:firstLine="16"/>
        <w:outlineLvl w:val="9"/>
        <w:rPr>
          <w:rFonts w:hint="eastAsia" w:ascii="宋体" w:hAnsi="宋体" w:eastAsia="宋体" w:cs="宋体"/>
          <w:b/>
          <w:bCs/>
          <w:color w:val="auto"/>
          <w:sz w:val="24"/>
          <w:szCs w:val="24"/>
          <w:lang w:eastAsia="zh-CN"/>
        </w:rPr>
      </w:pPr>
      <w:r>
        <w:rPr>
          <w:rFonts w:hint="eastAsia" w:ascii="宋体" w:hAnsi="宋体" w:eastAsia="宋体" w:cs="宋体"/>
          <w:color w:val="auto"/>
          <w:spacing w:val="-3"/>
          <w:sz w:val="24"/>
          <w:szCs w:val="24"/>
        </w:rPr>
        <w:t>11.5</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在收取误期赔偿费期间，需方有权决定是否终止合同</w:t>
      </w:r>
      <w:r>
        <w:rPr>
          <w:rFonts w:hint="eastAsia" w:ascii="宋体" w:hAnsi="宋体" w:eastAsia="宋体" w:cs="宋体"/>
          <w:b/>
          <w:bCs/>
          <w:color w:val="auto"/>
          <w:spacing w:val="-1"/>
          <w:sz w:val="24"/>
          <w:szCs w:val="24"/>
        </w:rPr>
        <w:t>十二、</w:t>
      </w:r>
      <w:r>
        <w:rPr>
          <w:rFonts w:hint="eastAsia" w:ascii="宋体" w:hAnsi="宋体" w:eastAsia="宋体" w:cs="宋体"/>
          <w:b/>
          <w:bCs/>
          <w:color w:val="auto"/>
          <w:spacing w:val="-1"/>
          <w:sz w:val="24"/>
          <w:szCs w:val="24"/>
          <w14:textOutline w14:w="4358" w14:cap="sq" w14:cmpd="sng">
            <w14:solidFill>
              <w14:srgbClr w14:val="000000"/>
            </w14:solidFill>
            <w14:prstDash w14:val="solid"/>
            <w14:bevel/>
          </w14:textOutline>
        </w:rPr>
        <w:t>履约保证金</w:t>
      </w:r>
      <w:r>
        <w:rPr>
          <w:rFonts w:hint="eastAsia" w:ascii="宋体" w:hAnsi="宋体" w:eastAsia="宋体" w:cs="宋体"/>
          <w:b/>
          <w:bCs/>
          <w:color w:val="auto"/>
          <w:spacing w:val="-1"/>
          <w:sz w:val="24"/>
          <w:szCs w:val="24"/>
          <w:lang w:eastAsia="zh-CN"/>
          <w14:textOutline w14:w="4358" w14:cap="sq" w14:cmpd="sng">
            <w14:solidFill>
              <w14:srgbClr w14:val="000000"/>
            </w14:solidFill>
            <w14:prstDash w14:val="solid"/>
            <w14:bevel/>
          </w14:textOutline>
        </w:rPr>
        <w:t>（无）</w:t>
      </w:r>
    </w:p>
    <w:p w14:paraId="0A42946F">
      <w:pPr>
        <w:spacing w:before="184"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十三、不可抗力</w:t>
      </w:r>
    </w:p>
    <w:p w14:paraId="587F7C93">
      <w:pPr>
        <w:spacing w:before="179" w:line="466" w:lineRule="exact"/>
        <w:ind w:right="61"/>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13.1</w:t>
      </w:r>
      <w:r>
        <w:rPr>
          <w:rFonts w:hint="eastAsia" w:ascii="宋体" w:hAnsi="宋体" w:eastAsia="宋体" w:cs="宋体"/>
          <w:color w:val="auto"/>
          <w:spacing w:val="-42"/>
          <w:position w:val="17"/>
          <w:sz w:val="24"/>
          <w:szCs w:val="24"/>
        </w:rPr>
        <w:t xml:space="preserve"> </w:t>
      </w:r>
      <w:r>
        <w:rPr>
          <w:rFonts w:hint="eastAsia" w:ascii="宋体" w:hAnsi="宋体" w:eastAsia="宋体" w:cs="宋体"/>
          <w:color w:val="auto"/>
          <w:spacing w:val="2"/>
          <w:position w:val="17"/>
          <w:sz w:val="24"/>
          <w:szCs w:val="24"/>
        </w:rPr>
        <w:t>如果供需双方因不可抗力而导致合同实施延误或不能履行合同义务，不</w:t>
      </w:r>
      <w:r>
        <w:rPr>
          <w:rFonts w:hint="eastAsia" w:ascii="宋体" w:hAnsi="宋体" w:eastAsia="宋体" w:cs="宋体"/>
          <w:color w:val="auto"/>
          <w:spacing w:val="1"/>
          <w:position w:val="17"/>
          <w:sz w:val="24"/>
          <w:szCs w:val="24"/>
        </w:rPr>
        <w:t>应该承</w:t>
      </w:r>
    </w:p>
    <w:p w14:paraId="5ED4E27E">
      <w:pPr>
        <w:spacing w:line="22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担误期赔偿或不能履行合同义务的责任。</w:t>
      </w:r>
    </w:p>
    <w:p w14:paraId="2D3C4CFE">
      <w:pPr>
        <w:spacing w:before="182" w:line="359" w:lineRule="auto"/>
        <w:ind w:right="63" w:firstLine="497"/>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13.2</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本条所述的“不可抗力</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1"/>
          <w:sz w:val="24"/>
          <w:szCs w:val="24"/>
        </w:rPr>
        <w:t>”系指那些双方无法控制，不可预见的事件，但不包括</w:t>
      </w:r>
      <w:r>
        <w:rPr>
          <w:rFonts w:hint="eastAsia" w:ascii="宋体" w:hAnsi="宋体" w:eastAsia="宋体" w:cs="宋体"/>
          <w:color w:val="auto"/>
          <w:spacing w:val="-2"/>
          <w:sz w:val="24"/>
          <w:szCs w:val="24"/>
        </w:rPr>
        <w:t>供需双方的违约或疏忽。这些事件包括但不限于：战争、严重火灾、洪水、台风、地震以</w:t>
      </w:r>
      <w:r>
        <w:rPr>
          <w:rFonts w:hint="eastAsia" w:ascii="宋体" w:hAnsi="宋体" w:eastAsia="宋体" w:cs="宋体"/>
          <w:color w:val="auto"/>
          <w:sz w:val="24"/>
          <w:szCs w:val="24"/>
        </w:rPr>
        <w:t>及其它供需双方商定的事件(供需双方认定国家政策重</w:t>
      </w:r>
      <w:r>
        <w:rPr>
          <w:rFonts w:hint="eastAsia" w:ascii="宋体" w:hAnsi="宋体" w:eastAsia="宋体" w:cs="宋体"/>
          <w:color w:val="auto"/>
          <w:spacing w:val="-1"/>
          <w:sz w:val="24"/>
          <w:szCs w:val="24"/>
        </w:rPr>
        <w:t>大变化属不可抗力)。</w:t>
      </w:r>
    </w:p>
    <w:p w14:paraId="5559C2F7">
      <w:pPr>
        <w:spacing w:before="182" w:line="359" w:lineRule="auto"/>
        <w:ind w:right="63" w:firstLine="497"/>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14:paraId="2EE82803">
      <w:pPr>
        <w:spacing w:before="180" w:line="221"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十四、税费</w:t>
      </w:r>
    </w:p>
    <w:p w14:paraId="52F553D4">
      <w:pPr>
        <w:spacing w:before="179"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根据现行法律规定对需方征收的与本合同有关的一切税费均由需方负</w:t>
      </w:r>
      <w:r>
        <w:rPr>
          <w:rFonts w:hint="eastAsia" w:ascii="宋体" w:hAnsi="宋体" w:eastAsia="宋体" w:cs="宋体"/>
          <w:color w:val="auto"/>
          <w:spacing w:val="-2"/>
          <w:sz w:val="24"/>
          <w:szCs w:val="24"/>
        </w:rPr>
        <w:t>担。</w:t>
      </w:r>
    </w:p>
    <w:p w14:paraId="47CABEF5">
      <w:pPr>
        <w:spacing w:before="183"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14.2</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根据现行法律规定对供方征收的与本合同有关的一切税费均由供方负</w:t>
      </w:r>
      <w:r>
        <w:rPr>
          <w:rFonts w:hint="eastAsia" w:ascii="宋体" w:hAnsi="宋体" w:eastAsia="宋体" w:cs="宋体"/>
          <w:color w:val="auto"/>
          <w:spacing w:val="-2"/>
          <w:sz w:val="24"/>
          <w:szCs w:val="24"/>
        </w:rPr>
        <w:t>担。</w:t>
      </w:r>
    </w:p>
    <w:p w14:paraId="5667EAF5">
      <w:pPr>
        <w:spacing w:before="183"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14.3</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在中国境外发生的与执行本合同有关的一切税费均由</w:t>
      </w:r>
      <w:r>
        <w:rPr>
          <w:rFonts w:hint="eastAsia" w:ascii="宋体" w:hAnsi="宋体" w:eastAsia="宋体" w:cs="宋体"/>
          <w:color w:val="auto"/>
          <w:spacing w:val="-2"/>
          <w:sz w:val="24"/>
          <w:szCs w:val="24"/>
        </w:rPr>
        <w:t>供方负担。</w:t>
      </w:r>
    </w:p>
    <w:p w14:paraId="4E8AE000">
      <w:pPr>
        <w:spacing w:before="180" w:line="220"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十五、争端的解决</w:t>
      </w:r>
    </w:p>
    <w:p w14:paraId="67D073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15.1 供需双方应通过友好协商，解决在执行本合同过程中所发生的或与本合同有关的一切争端。如从协商开始十（10）天内仍不能解决，可以向有关合同管理部门提请调解。</w:t>
      </w:r>
    </w:p>
    <w:p w14:paraId="5A6B4A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15.2 如果调解不成，供需双方的任何一方可以向人民法院提起诉讼。诉讼由合同签订地人民法院管辖。</w:t>
      </w:r>
    </w:p>
    <w:p w14:paraId="2BF9B2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15.3 诉讼费除法院另有裁决外均由败诉方负担。</w:t>
      </w:r>
    </w:p>
    <w:p w14:paraId="53DBF4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15.4 在诉讼期间，除正在进行诉讼的部分外，本合同的其它部分应继续执行。</w:t>
      </w:r>
    </w:p>
    <w:p w14:paraId="1C66155A">
      <w:pPr>
        <w:spacing w:before="182" w:line="222"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十六、违约终止合同</w:t>
      </w:r>
    </w:p>
    <w:p w14:paraId="611F13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在需方因供方违约而按合同约定采取的任何补救措施不受影响的情况下，需方可在下列情况下向供方发出书面通知，提出终止部分或全部合同。</w:t>
      </w:r>
    </w:p>
    <w:p w14:paraId="0DB942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（1）如果供方未能在合同规定的限期或需方同意延长的限期内提供部分或全部货物和服务。</w:t>
      </w:r>
    </w:p>
    <w:p w14:paraId="33E33F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（2）如果供方未能履行合同规定的其它任何义务。</w:t>
      </w:r>
    </w:p>
    <w:p w14:paraId="16CDAF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14:paraId="1DFFE3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费用负责。供方提交的履约保证金将被作为需方采取上述补救措施的购买资金的一部分。并且，供方应继续履行合同中未终止的部分。</w:t>
      </w:r>
    </w:p>
    <w:p w14:paraId="6E3462E2">
      <w:pPr>
        <w:numPr>
          <w:ilvl w:val="0"/>
          <w:numId w:val="1"/>
        </w:numPr>
        <w:spacing w:before="183" w:line="220" w:lineRule="auto"/>
        <w:ind w:left="494"/>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破产终止合同</w:t>
      </w:r>
    </w:p>
    <w:p w14:paraId="06D05CA5">
      <w:pPr>
        <w:spacing w:before="48" w:line="359" w:lineRule="auto"/>
        <w:ind w:left="24" w:firstLine="474"/>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17.1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2"/>
          <w:sz w:val="24"/>
          <w:szCs w:val="24"/>
        </w:rPr>
        <w:t>如果供方破产或丧失清偿能力，需方可在任何时候以书面形式通知供方</w:t>
      </w:r>
      <w:r>
        <w:rPr>
          <w:rFonts w:hint="eastAsia" w:ascii="宋体" w:hAnsi="宋体" w:eastAsia="宋体" w:cs="宋体"/>
          <w:color w:val="auto"/>
          <w:spacing w:val="1"/>
          <w:sz w:val="24"/>
          <w:szCs w:val="24"/>
        </w:rPr>
        <w:t>终止合</w:t>
      </w:r>
      <w:r>
        <w:rPr>
          <w:rFonts w:hint="eastAsia" w:ascii="宋体" w:hAnsi="宋体" w:eastAsia="宋体" w:cs="宋体"/>
          <w:color w:val="auto"/>
          <w:spacing w:val="-2"/>
          <w:sz w:val="24"/>
          <w:szCs w:val="24"/>
        </w:rPr>
        <w:t>同而不给供方补偿。该终止合同将不损害或影</w:t>
      </w:r>
      <w:r>
        <w:rPr>
          <w:rFonts w:hint="eastAsia" w:ascii="宋体" w:hAnsi="宋体" w:eastAsia="宋体" w:cs="宋体"/>
          <w:color w:val="auto"/>
          <w:spacing w:val="-3"/>
          <w:sz w:val="24"/>
          <w:szCs w:val="24"/>
        </w:rPr>
        <w:t>响需方已经采取或将要采取任何补救措施的权力。</w:t>
      </w:r>
    </w:p>
    <w:p w14:paraId="22918015">
      <w:pPr>
        <w:spacing w:before="181" w:line="221"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十八、合同转让和分包</w:t>
      </w:r>
    </w:p>
    <w:p w14:paraId="08597F25">
      <w:pPr>
        <w:spacing w:before="179"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18.1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供方不得部分转让和分包或全部转让和分包其应履行的</w:t>
      </w:r>
      <w:r>
        <w:rPr>
          <w:rFonts w:hint="eastAsia" w:ascii="宋体" w:hAnsi="宋体" w:eastAsia="宋体" w:cs="宋体"/>
          <w:color w:val="auto"/>
          <w:spacing w:val="-2"/>
          <w:sz w:val="24"/>
          <w:szCs w:val="24"/>
        </w:rPr>
        <w:t>合同义务。</w:t>
      </w:r>
    </w:p>
    <w:p w14:paraId="5794F14E">
      <w:pPr>
        <w:spacing w:before="182"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十九、需要补充的合同条款</w:t>
      </w:r>
    </w:p>
    <w:p w14:paraId="18E3E6D5">
      <w:pPr>
        <w:spacing w:before="182" w:line="220" w:lineRule="auto"/>
        <w:ind w:left="55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19.1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根据评标过程中或者商务谈判时商定的条款和条件在订立合同时</w:t>
      </w:r>
      <w:r>
        <w:rPr>
          <w:rFonts w:hint="eastAsia" w:ascii="宋体" w:hAnsi="宋体" w:eastAsia="宋体" w:cs="宋体"/>
          <w:color w:val="auto"/>
          <w:spacing w:val="-2"/>
          <w:sz w:val="24"/>
          <w:szCs w:val="24"/>
        </w:rPr>
        <w:t>标明。</w:t>
      </w:r>
    </w:p>
    <w:p w14:paraId="4F1E11B5">
      <w:pPr>
        <w:spacing w:before="179" w:line="220"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二十、适用法律</w:t>
      </w:r>
    </w:p>
    <w:p w14:paraId="083F3C6B">
      <w:pPr>
        <w:spacing w:before="183"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20.1</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本合同按照中华人民共和国的现行法律进行解释。</w:t>
      </w:r>
    </w:p>
    <w:p w14:paraId="51790C16">
      <w:pPr>
        <w:spacing w:before="180" w:line="221"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二十一、合同生效</w:t>
      </w:r>
    </w:p>
    <w:p w14:paraId="694166DF">
      <w:pPr>
        <w:spacing w:before="178" w:line="468" w:lineRule="exact"/>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21.1</w:t>
      </w:r>
      <w:r>
        <w:rPr>
          <w:rFonts w:hint="eastAsia" w:ascii="宋体" w:hAnsi="宋体" w:eastAsia="宋体" w:cs="宋体"/>
          <w:color w:val="auto"/>
          <w:spacing w:val="-30"/>
          <w:position w:val="17"/>
          <w:sz w:val="24"/>
          <w:szCs w:val="24"/>
        </w:rPr>
        <w:t xml:space="preserve"> </w:t>
      </w:r>
      <w:r>
        <w:rPr>
          <w:rFonts w:hint="eastAsia" w:ascii="宋体" w:hAnsi="宋体" w:eastAsia="宋体" w:cs="宋体"/>
          <w:color w:val="auto"/>
          <w:spacing w:val="2"/>
          <w:position w:val="17"/>
          <w:sz w:val="24"/>
          <w:szCs w:val="24"/>
        </w:rPr>
        <w:t>本合同在供需双方法定代表人或其授权代理人签字并加盖公章并且采购方收到</w:t>
      </w:r>
    </w:p>
    <w:p w14:paraId="08BDDF16">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供方提交的履约保证金后生效。</w:t>
      </w:r>
    </w:p>
    <w:p w14:paraId="7B5D3769">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二十二、合同附件</w:t>
      </w:r>
    </w:p>
    <w:p w14:paraId="2E624ADE">
      <w:pPr>
        <w:spacing w:before="181" w:line="290" w:lineRule="auto"/>
        <w:ind w:left="497" w:right="660" w:hanging="14"/>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22.1</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下列文件构成本合同不可分割的组成部分，与本合同具有同等法律效力</w:t>
      </w:r>
    </w:p>
    <w:p w14:paraId="6EA9BBB1">
      <w:pPr>
        <w:spacing w:before="181" w:line="290" w:lineRule="auto"/>
        <w:ind w:left="497" w:right="660" w:hanging="1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1、招标文件及澄清、补充文件；</w:t>
      </w:r>
    </w:p>
    <w:p w14:paraId="372E360F">
      <w:pPr>
        <w:spacing w:before="180"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2、供方的投标文件、在投标期间的书面承诺文件和售后服务承诺书；</w:t>
      </w:r>
    </w:p>
    <w:p w14:paraId="041A753D">
      <w:pPr>
        <w:spacing w:before="182" w:line="466" w:lineRule="exact"/>
        <w:ind w:left="485"/>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3、产品样本（与合同配置不符之处，以合同为准</w:t>
      </w:r>
      <w:r>
        <w:rPr>
          <w:rFonts w:hint="eastAsia" w:ascii="宋体" w:hAnsi="宋体" w:eastAsia="宋体" w:cs="宋体"/>
          <w:color w:val="auto"/>
          <w:spacing w:val="3"/>
          <w:position w:val="17"/>
          <w:sz w:val="24"/>
          <w:szCs w:val="24"/>
        </w:rPr>
        <w:t>）；</w:t>
      </w:r>
    </w:p>
    <w:p w14:paraId="7EB34730">
      <w:pPr>
        <w:spacing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4、中标通知书；</w:t>
      </w:r>
    </w:p>
    <w:p w14:paraId="0562AEF7">
      <w:pPr>
        <w:spacing w:before="183" w:line="466" w:lineRule="exact"/>
        <w:ind w:left="485"/>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5、政府采购验收报告单；</w:t>
      </w:r>
    </w:p>
    <w:p w14:paraId="73A8AC44">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6、合同的其他附件：</w:t>
      </w:r>
    </w:p>
    <w:p w14:paraId="644C9432">
      <w:pPr>
        <w:spacing w:before="184"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上述合同附件如果有不一致之处，以日期在后的和对需方有利的为准。</w:t>
      </w:r>
    </w:p>
    <w:p w14:paraId="0C20FB45">
      <w:pPr>
        <w:spacing w:before="180" w:line="220"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二十三、合同修改</w:t>
      </w:r>
    </w:p>
    <w:p w14:paraId="57D007F7">
      <w:pPr>
        <w:spacing w:before="182" w:line="468" w:lineRule="exact"/>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23.1</w:t>
      </w:r>
      <w:r>
        <w:rPr>
          <w:rFonts w:hint="eastAsia" w:ascii="宋体" w:hAnsi="宋体" w:eastAsia="宋体" w:cs="宋体"/>
          <w:color w:val="auto"/>
          <w:spacing w:val="-30"/>
          <w:position w:val="17"/>
          <w:sz w:val="24"/>
          <w:szCs w:val="24"/>
        </w:rPr>
        <w:t xml:space="preserve"> </w:t>
      </w:r>
      <w:r>
        <w:rPr>
          <w:rFonts w:hint="eastAsia" w:ascii="宋体" w:hAnsi="宋体" w:eastAsia="宋体" w:cs="宋体"/>
          <w:color w:val="auto"/>
          <w:spacing w:val="2"/>
          <w:position w:val="17"/>
          <w:sz w:val="24"/>
          <w:szCs w:val="24"/>
        </w:rPr>
        <w:t>除供需双方和采购方签署书面修改、补充协议，并成为本合同不可分割的一部</w:t>
      </w:r>
    </w:p>
    <w:p w14:paraId="5073AF88">
      <w:pPr>
        <w:spacing w:before="1"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分之外，本合同条件不得有任何变化或修改。</w:t>
      </w:r>
    </w:p>
    <w:p w14:paraId="1C0E5308">
      <w:pPr>
        <w:spacing w:before="180" w:line="221"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二十四、合同备案</w:t>
      </w:r>
    </w:p>
    <w:p w14:paraId="06C6BF71">
      <w:pPr>
        <w:spacing w:before="179"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24.1 自本合同订立之日起七个工作日内，向本级政府采购监督管理部门备案。</w:t>
      </w:r>
    </w:p>
    <w:p w14:paraId="611DF42C">
      <w:pPr>
        <w:spacing w:before="184" w:line="359" w:lineRule="auto"/>
        <w:ind w:left="2" w:right="2" w:firstLine="481"/>
        <w:outlineLvl w:val="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二十五、政府采购法对政府采购合同变更终止的规定：</w:t>
      </w:r>
      <w:r>
        <w:rPr>
          <w:rFonts w:hint="eastAsia" w:ascii="宋体" w:hAnsi="宋体" w:eastAsia="宋体" w:cs="宋体"/>
          <w:color w:val="auto"/>
          <w:spacing w:val="-2"/>
          <w:sz w:val="24"/>
          <w:szCs w:val="24"/>
        </w:rPr>
        <w:t>“政府采购合同的双方</w:t>
      </w:r>
      <w:r>
        <w:rPr>
          <w:rFonts w:hint="eastAsia" w:ascii="宋体" w:hAnsi="宋体" w:eastAsia="宋体" w:cs="宋体"/>
          <w:color w:val="auto"/>
          <w:spacing w:val="-3"/>
          <w:sz w:val="24"/>
          <w:szCs w:val="24"/>
        </w:rPr>
        <w:t>当事人</w:t>
      </w:r>
      <w:r>
        <w:rPr>
          <w:rFonts w:hint="eastAsia" w:ascii="宋体" w:hAnsi="宋体" w:eastAsia="宋体" w:cs="宋体"/>
          <w:color w:val="auto"/>
          <w:spacing w:val="-2"/>
          <w:sz w:val="24"/>
          <w:szCs w:val="24"/>
        </w:rPr>
        <w:t>不得擅自变更、中止或者终止合同。政府采购合同继续履行将损害国家利益和社会公共利益的，双方当事人应当变更、中止或者终止合同。有过错的一方应当承担赔偿责任，双方</w:t>
      </w:r>
      <w:r>
        <w:rPr>
          <w:rFonts w:hint="eastAsia" w:ascii="宋体" w:hAnsi="宋体" w:eastAsia="宋体" w:cs="宋体"/>
          <w:color w:val="auto"/>
          <w:spacing w:val="-1"/>
          <w:sz w:val="24"/>
          <w:szCs w:val="24"/>
        </w:rPr>
        <w:t>都有过错的，各自承担相应的责任。”在本合同中</w:t>
      </w:r>
      <w:r>
        <w:rPr>
          <w:rFonts w:hint="eastAsia" w:ascii="宋体" w:hAnsi="宋体" w:eastAsia="宋体" w:cs="宋体"/>
          <w:color w:val="auto"/>
          <w:spacing w:val="-2"/>
          <w:sz w:val="24"/>
          <w:szCs w:val="24"/>
        </w:rPr>
        <w:t>，双方当事人指供需双方。</w:t>
      </w:r>
    </w:p>
    <w:p w14:paraId="6A6578D1">
      <w:pPr>
        <w:spacing w:before="1" w:line="219" w:lineRule="auto"/>
        <w:ind w:left="4"/>
        <w:outlineLvl w:val="9"/>
        <w:rPr>
          <w:rFonts w:hint="eastAsia" w:ascii="宋体" w:hAnsi="宋体" w:eastAsia="宋体" w:cs="宋体"/>
          <w:color w:val="auto"/>
          <w:spacing w:val="-2"/>
          <w:sz w:val="24"/>
          <w:szCs w:val="24"/>
        </w:rPr>
      </w:pPr>
    </w:p>
    <w:p w14:paraId="20B33304">
      <w:pPr>
        <w:spacing w:before="1" w:line="219" w:lineRule="auto"/>
        <w:ind w:left="4"/>
        <w:outlineLvl w:val="9"/>
        <w:rPr>
          <w:rFonts w:hint="eastAsia" w:ascii="宋体" w:hAnsi="宋体" w:eastAsia="宋体" w:cs="宋体"/>
          <w:color w:val="auto"/>
          <w:spacing w:val="-2"/>
          <w:sz w:val="24"/>
          <w:szCs w:val="24"/>
        </w:rPr>
      </w:pPr>
    </w:p>
    <w:p w14:paraId="005849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需方：</w:t>
      </w:r>
      <w:r>
        <w:rPr>
          <w:rFonts w:hint="eastAsia" w:ascii="宋体" w:hAnsi="宋体" w:eastAsia="宋体" w:cs="宋体"/>
          <w:color w:val="auto"/>
          <w:sz w:val="24"/>
          <w:szCs w:val="24"/>
          <w:lang w:val="en-US" w:eastAsia="zh-CN"/>
        </w:rPr>
        <w:t xml:space="preserve">                                   供方：</w:t>
      </w:r>
    </w:p>
    <w:p w14:paraId="15D088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14:paraId="0B7777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w:t>
      </w:r>
    </w:p>
    <w:p w14:paraId="5B5B04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或授权委托人：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或授权委托人：</w:t>
      </w:r>
    </w:p>
    <w:p w14:paraId="73EB05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签字日期：</w:t>
      </w:r>
    </w:p>
    <w:p w14:paraId="332AA1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p>
    <w:p w14:paraId="46F4DE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14:paraId="60A497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传真：</w:t>
      </w:r>
    </w:p>
    <w:p w14:paraId="7BF980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联系人：</w:t>
      </w:r>
    </w:p>
    <w:p w14:paraId="464A47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14:paraId="60608C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账户名称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账户名称</w:t>
      </w:r>
      <w:r>
        <w:rPr>
          <w:rFonts w:hint="eastAsia" w:ascii="宋体" w:hAnsi="宋体" w:eastAsia="宋体" w:cs="宋体"/>
          <w:color w:val="auto"/>
          <w:sz w:val="24"/>
          <w:szCs w:val="24"/>
          <w:lang w:eastAsia="zh-CN"/>
        </w:rPr>
        <w:t>：</w:t>
      </w:r>
    </w:p>
    <w:p w14:paraId="6BC22A8A">
      <w:pPr>
        <w:keepNext w:val="0"/>
        <w:keepLines w:val="0"/>
        <w:pageBreakBefore w:val="0"/>
        <w:widowControl/>
        <w:kinsoku w:val="0"/>
        <w:wordWrap/>
        <w:overflowPunct/>
        <w:topLinePunct w:val="0"/>
        <w:autoSpaceDE w:val="0"/>
        <w:autoSpaceDN w:val="0"/>
        <w:bidi w:val="0"/>
        <w:adjustRightInd w:val="0"/>
        <w:snapToGrid w:val="0"/>
        <w:spacing w:before="1" w:line="360" w:lineRule="auto"/>
        <w:ind w:left="4"/>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账号：</w:t>
      </w:r>
    </w:p>
    <w:p w14:paraId="2230CA93">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01F566F5">
      <w:pPr>
        <w:pStyle w:val="2"/>
        <w:keepNext/>
        <w:keepLines/>
        <w:pageBreakBefore w:val="0"/>
        <w:widowControl/>
        <w:numPr>
          <w:ilvl w:val="0"/>
          <w:numId w:val="2"/>
        </w:numPr>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bookmarkStart w:id="38" w:name="_Toc9810"/>
      <w:r>
        <w:rPr>
          <w:rFonts w:hint="eastAsia"/>
          <w:color w:val="auto"/>
          <w:sz w:val="32"/>
          <w:szCs w:val="22"/>
          <w:highlight w:val="none"/>
        </w:rPr>
        <w:t>采购需求</w:t>
      </w:r>
      <w:bookmarkEnd w:id="38"/>
    </w:p>
    <w:p w14:paraId="094D1518">
      <w:pPr>
        <w:spacing w:line="360" w:lineRule="auto"/>
        <w:jc w:val="both"/>
        <w:outlineLvl w:val="9"/>
        <w:rPr>
          <w:rFonts w:hint="eastAsia" w:ascii="宋体" w:hAnsi="宋体" w:eastAsia="宋体" w:cs="宋体"/>
          <w:b/>
          <w:bCs/>
          <w:color w:val="auto"/>
          <w:kern w:val="44"/>
          <w:sz w:val="28"/>
          <w:szCs w:val="28"/>
          <w:highlight w:val="none"/>
          <w:lang w:val="zh-CN" w:eastAsia="zh-CN"/>
        </w:rPr>
      </w:pPr>
      <w:r>
        <w:rPr>
          <w:rFonts w:hint="eastAsia" w:ascii="宋体" w:hAnsi="宋体" w:eastAsia="宋体" w:cs="宋体"/>
          <w:b/>
          <w:bCs/>
          <w:color w:val="auto"/>
          <w:kern w:val="44"/>
          <w:sz w:val="28"/>
          <w:szCs w:val="28"/>
          <w:highlight w:val="none"/>
          <w:lang w:val="zh-CN" w:eastAsia="zh-CN"/>
        </w:rPr>
        <w:t>一、采购清单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685"/>
        <w:gridCol w:w="1200"/>
        <w:gridCol w:w="2082"/>
        <w:gridCol w:w="2226"/>
      </w:tblGrid>
      <w:tr w14:paraId="7572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01EBC432">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序号</w:t>
            </w:r>
          </w:p>
        </w:tc>
        <w:tc>
          <w:tcPr>
            <w:tcW w:w="2685" w:type="dxa"/>
            <w:noWrap w:val="0"/>
            <w:vAlign w:val="center"/>
          </w:tcPr>
          <w:p w14:paraId="6ABBCF89">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设备名称</w:t>
            </w:r>
          </w:p>
        </w:tc>
        <w:tc>
          <w:tcPr>
            <w:tcW w:w="1200" w:type="dxa"/>
            <w:noWrap w:val="0"/>
            <w:vAlign w:val="center"/>
          </w:tcPr>
          <w:p w14:paraId="3BE9D86F">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数量</w:t>
            </w:r>
          </w:p>
        </w:tc>
        <w:tc>
          <w:tcPr>
            <w:tcW w:w="2082" w:type="dxa"/>
            <w:noWrap w:val="0"/>
            <w:vAlign w:val="center"/>
          </w:tcPr>
          <w:p w14:paraId="54997276">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单价（元）</w:t>
            </w:r>
          </w:p>
        </w:tc>
        <w:tc>
          <w:tcPr>
            <w:tcW w:w="2226" w:type="dxa"/>
            <w:noWrap w:val="0"/>
            <w:vAlign w:val="center"/>
          </w:tcPr>
          <w:p w14:paraId="7AA02CA8">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合计金额（元）</w:t>
            </w:r>
          </w:p>
        </w:tc>
      </w:tr>
      <w:tr w14:paraId="068F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33B8350E">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w:t>
            </w:r>
          </w:p>
        </w:tc>
        <w:tc>
          <w:tcPr>
            <w:tcW w:w="2685" w:type="dxa"/>
            <w:shd w:val="clear" w:color="auto" w:fill="auto"/>
            <w:noWrap w:val="0"/>
            <w:vAlign w:val="center"/>
          </w:tcPr>
          <w:p w14:paraId="63782294">
            <w:pPr>
              <w:widowControl w:val="0"/>
              <w:jc w:val="center"/>
              <w:rPr>
                <w:rFonts w:hint="eastAsia" w:ascii="宋体" w:hAnsi="宋体" w:eastAsia="宋体" w:cs="宋体"/>
                <w:b/>
                <w:bCs/>
                <w:color w:val="auto"/>
                <w:kern w:val="44"/>
                <w:sz w:val="24"/>
                <w:szCs w:val="24"/>
                <w:highlight w:val="none"/>
                <w:vertAlign w:val="baseline"/>
                <w:lang w:val="zh-CN" w:eastAsia="en-US"/>
              </w:rPr>
            </w:pPr>
            <w:r>
              <w:rPr>
                <w:rFonts w:hint="eastAsia" w:ascii="宋体" w:hAnsi="宋体" w:eastAsia="宋体" w:cs="宋体"/>
                <w:b/>
                <w:bCs/>
                <w:color w:val="auto"/>
                <w:kern w:val="44"/>
                <w:sz w:val="24"/>
                <w:szCs w:val="24"/>
                <w:highlight w:val="none"/>
                <w:vertAlign w:val="baseline"/>
                <w:lang w:val="en-US" w:eastAsia="zh-CN"/>
              </w:rPr>
              <w:t>手术无影灯</w:t>
            </w:r>
          </w:p>
        </w:tc>
        <w:tc>
          <w:tcPr>
            <w:tcW w:w="1200" w:type="dxa"/>
            <w:shd w:val="clear" w:color="auto" w:fill="auto"/>
            <w:noWrap w:val="0"/>
            <w:vAlign w:val="center"/>
          </w:tcPr>
          <w:p w14:paraId="01C3CB53">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8</w:t>
            </w:r>
          </w:p>
        </w:tc>
        <w:tc>
          <w:tcPr>
            <w:tcW w:w="2082" w:type="dxa"/>
            <w:shd w:val="clear" w:color="auto" w:fill="auto"/>
            <w:noWrap w:val="0"/>
            <w:vAlign w:val="center"/>
          </w:tcPr>
          <w:p w14:paraId="3208F703">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190000</w:t>
            </w:r>
          </w:p>
        </w:tc>
        <w:tc>
          <w:tcPr>
            <w:tcW w:w="2226" w:type="dxa"/>
            <w:shd w:val="clear" w:color="auto" w:fill="auto"/>
            <w:noWrap w:val="0"/>
            <w:vAlign w:val="center"/>
          </w:tcPr>
          <w:p w14:paraId="7BE5EA4A">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1520000</w:t>
            </w:r>
          </w:p>
        </w:tc>
      </w:tr>
      <w:tr w14:paraId="072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151A4BF3">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2</w:t>
            </w:r>
          </w:p>
        </w:tc>
        <w:tc>
          <w:tcPr>
            <w:tcW w:w="2685" w:type="dxa"/>
            <w:shd w:val="clear" w:color="auto" w:fill="auto"/>
            <w:noWrap w:val="0"/>
            <w:vAlign w:val="center"/>
          </w:tcPr>
          <w:p w14:paraId="5275A87F">
            <w:pPr>
              <w:widowControl w:val="0"/>
              <w:jc w:val="center"/>
              <w:rPr>
                <w:rFonts w:hint="eastAsia" w:ascii="宋体" w:hAnsi="宋体" w:eastAsia="宋体" w:cs="宋体"/>
                <w:b/>
                <w:bCs/>
                <w:color w:val="auto"/>
                <w:kern w:val="44"/>
                <w:sz w:val="24"/>
                <w:szCs w:val="24"/>
                <w:highlight w:val="none"/>
                <w:vertAlign w:val="baseline"/>
                <w:lang w:val="zh-CN" w:eastAsia="en-US"/>
              </w:rPr>
            </w:pPr>
            <w:r>
              <w:rPr>
                <w:rFonts w:hint="eastAsia" w:ascii="宋体" w:hAnsi="宋体" w:eastAsia="宋体" w:cs="宋体"/>
                <w:b/>
                <w:bCs/>
                <w:color w:val="auto"/>
                <w:kern w:val="44"/>
                <w:sz w:val="24"/>
                <w:szCs w:val="24"/>
                <w:highlight w:val="none"/>
                <w:vertAlign w:val="baseline"/>
                <w:lang w:val="en-US" w:eastAsia="zh-CN"/>
              </w:rPr>
              <w:t>手术床</w:t>
            </w:r>
          </w:p>
        </w:tc>
        <w:tc>
          <w:tcPr>
            <w:tcW w:w="1200" w:type="dxa"/>
            <w:shd w:val="clear" w:color="auto" w:fill="auto"/>
            <w:noWrap w:val="0"/>
            <w:vAlign w:val="center"/>
          </w:tcPr>
          <w:p w14:paraId="213B1DE4">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8</w:t>
            </w:r>
          </w:p>
        </w:tc>
        <w:tc>
          <w:tcPr>
            <w:tcW w:w="2082" w:type="dxa"/>
            <w:shd w:val="clear" w:color="auto" w:fill="auto"/>
            <w:noWrap w:val="0"/>
            <w:vAlign w:val="center"/>
          </w:tcPr>
          <w:p w14:paraId="34DFEF92">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170000</w:t>
            </w:r>
          </w:p>
        </w:tc>
        <w:tc>
          <w:tcPr>
            <w:tcW w:w="2226" w:type="dxa"/>
            <w:shd w:val="clear" w:color="auto" w:fill="auto"/>
            <w:noWrap w:val="0"/>
            <w:vAlign w:val="center"/>
          </w:tcPr>
          <w:p w14:paraId="79C073E0">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1360000</w:t>
            </w:r>
          </w:p>
        </w:tc>
      </w:tr>
      <w:tr w14:paraId="3E49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42930C9C">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3</w:t>
            </w:r>
          </w:p>
        </w:tc>
        <w:tc>
          <w:tcPr>
            <w:tcW w:w="2685" w:type="dxa"/>
            <w:shd w:val="clear" w:color="auto" w:fill="auto"/>
            <w:noWrap w:val="0"/>
            <w:vAlign w:val="center"/>
          </w:tcPr>
          <w:p w14:paraId="5EAFED11">
            <w:pPr>
              <w:widowControl w:val="0"/>
              <w:jc w:val="center"/>
              <w:rPr>
                <w:rFonts w:hint="eastAsia" w:ascii="宋体" w:hAnsi="宋体" w:eastAsia="宋体" w:cs="宋体"/>
                <w:b/>
                <w:bCs/>
                <w:color w:val="auto"/>
                <w:kern w:val="44"/>
                <w:sz w:val="24"/>
                <w:szCs w:val="24"/>
                <w:highlight w:val="none"/>
                <w:vertAlign w:val="baseline"/>
                <w:lang w:val="zh-CN" w:eastAsia="en-US"/>
              </w:rPr>
            </w:pPr>
            <w:r>
              <w:rPr>
                <w:rFonts w:hint="eastAsia" w:ascii="宋体" w:hAnsi="宋体" w:eastAsia="宋体" w:cs="宋体"/>
                <w:b/>
                <w:bCs/>
                <w:color w:val="auto"/>
                <w:kern w:val="44"/>
                <w:sz w:val="24"/>
                <w:szCs w:val="24"/>
                <w:highlight w:val="none"/>
                <w:vertAlign w:val="baseline"/>
                <w:lang w:val="en-US" w:eastAsia="zh-CN"/>
              </w:rPr>
              <w:t>机械外科塔</w:t>
            </w:r>
          </w:p>
        </w:tc>
        <w:tc>
          <w:tcPr>
            <w:tcW w:w="1200" w:type="dxa"/>
            <w:shd w:val="clear" w:color="auto" w:fill="auto"/>
            <w:noWrap w:val="0"/>
            <w:vAlign w:val="center"/>
          </w:tcPr>
          <w:p w14:paraId="43453F78">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10</w:t>
            </w:r>
          </w:p>
        </w:tc>
        <w:tc>
          <w:tcPr>
            <w:tcW w:w="2082" w:type="dxa"/>
            <w:shd w:val="clear" w:color="auto" w:fill="auto"/>
            <w:noWrap w:val="0"/>
            <w:vAlign w:val="center"/>
          </w:tcPr>
          <w:p w14:paraId="5908A986">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70000</w:t>
            </w:r>
          </w:p>
        </w:tc>
        <w:tc>
          <w:tcPr>
            <w:tcW w:w="2226" w:type="dxa"/>
            <w:shd w:val="clear" w:color="auto" w:fill="auto"/>
            <w:noWrap w:val="0"/>
            <w:vAlign w:val="center"/>
          </w:tcPr>
          <w:p w14:paraId="147AB43D">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700000</w:t>
            </w:r>
          </w:p>
        </w:tc>
      </w:tr>
      <w:tr w14:paraId="3D44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24B37189">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4</w:t>
            </w:r>
          </w:p>
        </w:tc>
        <w:tc>
          <w:tcPr>
            <w:tcW w:w="2685" w:type="dxa"/>
            <w:shd w:val="clear" w:color="auto" w:fill="auto"/>
            <w:noWrap w:val="0"/>
            <w:vAlign w:val="center"/>
          </w:tcPr>
          <w:p w14:paraId="14438CC0">
            <w:pPr>
              <w:widowControl w:val="0"/>
              <w:jc w:val="center"/>
              <w:rPr>
                <w:rFonts w:hint="eastAsia" w:ascii="宋体" w:hAnsi="宋体" w:eastAsia="宋体" w:cs="宋体"/>
                <w:b/>
                <w:bCs/>
                <w:color w:val="auto"/>
                <w:kern w:val="44"/>
                <w:sz w:val="24"/>
                <w:szCs w:val="24"/>
                <w:highlight w:val="none"/>
                <w:vertAlign w:val="baseline"/>
                <w:lang w:val="zh-CN" w:eastAsia="en-US"/>
              </w:rPr>
            </w:pPr>
            <w:r>
              <w:rPr>
                <w:rFonts w:hint="eastAsia" w:ascii="宋体" w:hAnsi="宋体" w:eastAsia="宋体" w:cs="宋体"/>
                <w:b/>
                <w:bCs/>
                <w:color w:val="auto"/>
                <w:kern w:val="44"/>
                <w:sz w:val="24"/>
                <w:szCs w:val="24"/>
                <w:highlight w:val="none"/>
                <w:vertAlign w:val="baseline"/>
                <w:lang w:val="en-US" w:eastAsia="zh-CN"/>
              </w:rPr>
              <w:t>电动麻醉塔</w:t>
            </w:r>
          </w:p>
        </w:tc>
        <w:tc>
          <w:tcPr>
            <w:tcW w:w="1200" w:type="dxa"/>
            <w:shd w:val="clear" w:color="auto" w:fill="auto"/>
            <w:noWrap w:val="0"/>
            <w:vAlign w:val="center"/>
          </w:tcPr>
          <w:p w14:paraId="2729438D">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10</w:t>
            </w:r>
          </w:p>
        </w:tc>
        <w:tc>
          <w:tcPr>
            <w:tcW w:w="2082" w:type="dxa"/>
            <w:shd w:val="clear" w:color="auto" w:fill="auto"/>
            <w:noWrap w:val="0"/>
            <w:vAlign w:val="center"/>
          </w:tcPr>
          <w:p w14:paraId="754EAE9E">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70000</w:t>
            </w:r>
          </w:p>
        </w:tc>
        <w:tc>
          <w:tcPr>
            <w:tcW w:w="2226" w:type="dxa"/>
            <w:shd w:val="clear" w:color="auto" w:fill="auto"/>
            <w:noWrap w:val="0"/>
            <w:vAlign w:val="center"/>
          </w:tcPr>
          <w:p w14:paraId="59EFEAC4">
            <w:pPr>
              <w:widowControl w:val="0"/>
              <w:jc w:val="center"/>
              <w:rPr>
                <w:rFonts w:hint="default"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700000</w:t>
            </w:r>
          </w:p>
        </w:tc>
      </w:tr>
      <w:tr w14:paraId="6CC3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51" w:type="dxa"/>
            <w:gridSpan w:val="4"/>
            <w:noWrap w:val="0"/>
            <w:vAlign w:val="center"/>
          </w:tcPr>
          <w:p w14:paraId="05F911D9">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zh-CN"/>
              </w:rPr>
              <w:t>总预算金额</w:t>
            </w:r>
          </w:p>
        </w:tc>
        <w:tc>
          <w:tcPr>
            <w:tcW w:w="2226" w:type="dxa"/>
            <w:shd w:val="clear" w:color="auto" w:fill="auto"/>
            <w:noWrap w:val="0"/>
            <w:vAlign w:val="center"/>
          </w:tcPr>
          <w:p w14:paraId="5C242DF3">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4280000</w:t>
            </w:r>
          </w:p>
        </w:tc>
      </w:tr>
    </w:tbl>
    <w:p w14:paraId="03E1239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rPr>
          <w:rFonts w:hint="eastAsia" w:ascii="宋体" w:hAnsi="宋体" w:eastAsia="宋体" w:cs="宋体"/>
          <w:b/>
          <w:bCs/>
          <w:color w:val="auto"/>
          <w:kern w:val="44"/>
          <w:sz w:val="28"/>
          <w:szCs w:val="28"/>
          <w:highlight w:val="none"/>
          <w:lang w:val="zh-CN"/>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b/>
          <w:bCs/>
          <w:color w:val="auto"/>
          <w:kern w:val="44"/>
          <w:sz w:val="24"/>
          <w:szCs w:val="24"/>
          <w:highlight w:val="none"/>
          <w:lang w:val="zh-CN"/>
        </w:rPr>
        <w:t>注：投标供应商对本项目进行报价时，单价及总价均不允许超过采购预算金额</w:t>
      </w:r>
      <w:r>
        <w:rPr>
          <w:rFonts w:hint="eastAsia" w:ascii="宋体" w:hAnsi="宋体" w:eastAsia="宋体" w:cs="宋体"/>
          <w:b/>
          <w:bCs/>
          <w:color w:val="auto"/>
          <w:kern w:val="44"/>
          <w:sz w:val="28"/>
          <w:szCs w:val="28"/>
          <w:highlight w:val="none"/>
          <w:lang w:val="zh-CN"/>
        </w:rPr>
        <w:t>。</w:t>
      </w:r>
    </w:p>
    <w:p w14:paraId="0262D4A4">
      <w:pPr>
        <w:keepNext w:val="0"/>
        <w:keepLines w:val="0"/>
        <w:pageBreakBefore w:val="0"/>
        <w:widowControl/>
        <w:kinsoku w:val="0"/>
        <w:wordWrap/>
        <w:overflowPunct/>
        <w:topLinePunct w:val="0"/>
        <w:autoSpaceDE w:val="0"/>
        <w:autoSpaceDN w:val="0"/>
        <w:bidi w:val="0"/>
        <w:adjustRightInd w:val="0"/>
        <w:snapToGrid w:val="0"/>
        <w:spacing w:before="0" w:beforeLines="150" w:line="360" w:lineRule="auto"/>
        <w:jc w:val="both"/>
        <w:textAlignment w:val="baseline"/>
        <w:outlineLvl w:val="9"/>
        <w:rPr>
          <w:rFonts w:hint="eastAsia" w:ascii="宋体" w:hAnsi="宋体" w:eastAsia="宋体" w:cs="宋体"/>
          <w:b/>
          <w:bCs/>
          <w:color w:val="auto"/>
          <w:kern w:val="44"/>
          <w:sz w:val="28"/>
          <w:szCs w:val="28"/>
          <w:highlight w:val="none"/>
          <w:lang w:val="zh-CN" w:eastAsia="zh-CN"/>
        </w:rPr>
      </w:pPr>
      <w:r>
        <w:rPr>
          <w:rFonts w:hint="eastAsia" w:ascii="宋体" w:hAnsi="宋体" w:eastAsia="宋体" w:cs="宋体"/>
          <w:b/>
          <w:bCs/>
          <w:color w:val="auto"/>
          <w:kern w:val="44"/>
          <w:sz w:val="28"/>
          <w:szCs w:val="28"/>
          <w:highlight w:val="none"/>
          <w:lang w:val="zh-CN" w:eastAsia="zh-CN"/>
        </w:rPr>
        <w:t>二、采购设备技术参数</w:t>
      </w:r>
    </w:p>
    <w:p w14:paraId="1DDA1B40">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ascii="宋体" w:hAnsi="宋体" w:eastAsia="宋体"/>
          <w:b/>
          <w:color w:val="auto"/>
          <w:sz w:val="22"/>
        </w:rPr>
      </w:pPr>
      <w:r>
        <w:rPr>
          <w:rFonts w:hint="eastAsia" w:ascii="宋体" w:hAnsi="宋体" w:eastAsia="宋体"/>
          <w:b/>
          <w:color w:val="auto"/>
          <w:sz w:val="28"/>
        </w:rPr>
        <w:t>手术无影灯技术参数</w:t>
      </w:r>
    </w:p>
    <w:p w14:paraId="40FB5D5A">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1.</w:t>
      </w:r>
      <w:r>
        <w:rPr>
          <w:rFonts w:hint="eastAsia" w:ascii="宋体" w:hAnsi="宋体" w:eastAsia="宋体"/>
          <w:color w:val="auto"/>
          <w:sz w:val="22"/>
          <w:szCs w:val="22"/>
        </w:rPr>
        <w:t>采用LED冷光技术，每组L</w:t>
      </w:r>
      <w:r>
        <w:rPr>
          <w:rFonts w:ascii="宋体" w:hAnsi="宋体" w:eastAsia="宋体"/>
          <w:color w:val="auto"/>
          <w:sz w:val="22"/>
          <w:szCs w:val="22"/>
        </w:rPr>
        <w:t>ED</w:t>
      </w:r>
      <w:r>
        <w:rPr>
          <w:rFonts w:hint="eastAsia" w:ascii="宋体" w:hAnsi="宋体" w:eastAsia="宋体"/>
          <w:color w:val="auto"/>
          <w:sz w:val="22"/>
          <w:szCs w:val="22"/>
        </w:rPr>
        <w:t>光源都有单独的透镜聚光。</w:t>
      </w:r>
    </w:p>
    <w:p w14:paraId="1FCD477E">
      <w:pPr>
        <w:numPr>
          <w:ilvl w:val="0"/>
          <w:numId w:val="0"/>
        </w:numPr>
        <w:spacing w:line="360" w:lineRule="auto"/>
        <w:ind w:leftChars="0"/>
        <w:rPr>
          <w:rFonts w:hint="eastAsia" w:ascii="宋体" w:hAnsi="宋体" w:eastAsia="宋体"/>
          <w:color w:val="auto"/>
          <w:sz w:val="22"/>
          <w:szCs w:val="22"/>
          <w:lang w:eastAsia="zh-CN"/>
        </w:rPr>
      </w:pPr>
      <w:r>
        <w:rPr>
          <w:rFonts w:hint="eastAsia" w:ascii="宋体" w:hAnsi="宋体" w:eastAsia="宋体"/>
          <w:color w:val="auto"/>
          <w:sz w:val="22"/>
          <w:szCs w:val="22"/>
          <w:lang w:val="en-US" w:eastAsia="zh-CN"/>
        </w:rPr>
        <w:t>2.</w:t>
      </w:r>
      <w:r>
        <w:rPr>
          <w:rFonts w:hint="eastAsia" w:ascii="宋体" w:hAnsi="宋体" w:eastAsia="宋体"/>
          <w:color w:val="auto"/>
          <w:sz w:val="22"/>
          <w:szCs w:val="22"/>
        </w:rPr>
        <w:t>手术灯采用超薄型灯头设计，灯头直径≥</w:t>
      </w:r>
      <w:r>
        <w:rPr>
          <w:rFonts w:ascii="宋体" w:hAnsi="宋体" w:eastAsia="宋体"/>
          <w:color w:val="auto"/>
          <w:sz w:val="22"/>
          <w:szCs w:val="22"/>
        </w:rPr>
        <w:t>60</w:t>
      </w:r>
      <w:r>
        <w:rPr>
          <w:rFonts w:hint="eastAsia" w:ascii="宋体" w:hAnsi="宋体" w:eastAsia="宋体"/>
          <w:color w:val="auto"/>
          <w:sz w:val="22"/>
          <w:szCs w:val="22"/>
        </w:rPr>
        <w:t>cm，厚度≤</w:t>
      </w:r>
      <w:r>
        <w:rPr>
          <w:rFonts w:ascii="宋体" w:hAnsi="宋体" w:eastAsia="宋体"/>
          <w:color w:val="auto"/>
          <w:sz w:val="22"/>
          <w:szCs w:val="22"/>
        </w:rPr>
        <w:t>6cm</w:t>
      </w:r>
      <w:r>
        <w:rPr>
          <w:rFonts w:hint="eastAsia" w:ascii="宋体" w:hAnsi="宋体" w:eastAsia="宋体"/>
          <w:color w:val="auto"/>
          <w:sz w:val="22"/>
          <w:szCs w:val="22"/>
          <w:lang w:eastAsia="zh-CN"/>
        </w:rPr>
        <w:t>。</w:t>
      </w:r>
    </w:p>
    <w:p w14:paraId="60907685">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3.</w:t>
      </w:r>
      <w:r>
        <w:rPr>
          <w:rFonts w:hint="eastAsia" w:ascii="宋体" w:hAnsi="宋体" w:eastAsia="宋体"/>
          <w:color w:val="auto"/>
          <w:sz w:val="22"/>
          <w:szCs w:val="22"/>
        </w:rPr>
        <w:t>▲灯头具有良好的层流穿透效果，符合D</w:t>
      </w:r>
      <w:r>
        <w:rPr>
          <w:rFonts w:ascii="宋体" w:hAnsi="宋体" w:eastAsia="宋体"/>
          <w:color w:val="auto"/>
          <w:sz w:val="22"/>
          <w:szCs w:val="22"/>
        </w:rPr>
        <w:t>IN1946-4</w:t>
      </w:r>
      <w:r>
        <w:rPr>
          <w:rFonts w:hint="eastAsia" w:ascii="宋体" w:hAnsi="宋体" w:eastAsia="宋体"/>
          <w:color w:val="auto"/>
          <w:sz w:val="22"/>
          <w:szCs w:val="22"/>
        </w:rPr>
        <w:t>现代层流手术室感控要求，扰流指数≤</w:t>
      </w:r>
      <w:r>
        <w:rPr>
          <w:rFonts w:ascii="宋体" w:hAnsi="宋体" w:eastAsia="宋体"/>
          <w:color w:val="auto"/>
          <w:sz w:val="22"/>
          <w:szCs w:val="22"/>
        </w:rPr>
        <w:t>23%</w:t>
      </w:r>
      <w:r>
        <w:rPr>
          <w:rFonts w:hint="eastAsia" w:ascii="宋体" w:hAnsi="宋体" w:eastAsia="宋体"/>
          <w:color w:val="auto"/>
          <w:sz w:val="22"/>
          <w:szCs w:val="22"/>
        </w:rPr>
        <w:t>。（提供第三方检测文件证明）</w:t>
      </w:r>
    </w:p>
    <w:p w14:paraId="5838A70D">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4.</w:t>
      </w:r>
      <w:r>
        <w:rPr>
          <w:rFonts w:hint="eastAsia" w:ascii="宋体" w:hAnsi="宋体" w:eastAsia="宋体"/>
          <w:color w:val="auto"/>
          <w:sz w:val="22"/>
          <w:szCs w:val="22"/>
        </w:rPr>
        <w:t>灯头采用一体化无螺钉设计，同时灯头操作扶手与灯头一体成型，中间无缝隙。</w:t>
      </w:r>
    </w:p>
    <w:p w14:paraId="106D94B6">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5.</w:t>
      </w:r>
      <w:r>
        <w:rPr>
          <w:rFonts w:hint="eastAsia" w:ascii="宋体" w:hAnsi="宋体" w:eastAsia="宋体"/>
          <w:color w:val="auto"/>
          <w:sz w:val="22"/>
          <w:szCs w:val="22"/>
        </w:rPr>
        <w:t>▲手术灯灯头≥IP5</w:t>
      </w:r>
      <w:r>
        <w:rPr>
          <w:rFonts w:ascii="宋体" w:hAnsi="宋体" w:eastAsia="宋体"/>
          <w:color w:val="auto"/>
          <w:sz w:val="22"/>
          <w:szCs w:val="22"/>
        </w:rPr>
        <w:t>4</w:t>
      </w:r>
      <w:r>
        <w:rPr>
          <w:rFonts w:hint="eastAsia" w:ascii="宋体" w:hAnsi="宋体" w:eastAsia="宋体"/>
          <w:color w:val="auto"/>
          <w:sz w:val="22"/>
          <w:szCs w:val="22"/>
        </w:rPr>
        <w:t>防水防尘等级。（提供第三方检测文件证明）</w:t>
      </w:r>
    </w:p>
    <w:p w14:paraId="56EECEAD">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6.</w:t>
      </w:r>
      <w:r>
        <w:rPr>
          <w:rFonts w:hint="eastAsia" w:ascii="宋体" w:hAnsi="宋体" w:eastAsia="宋体"/>
          <w:color w:val="auto"/>
          <w:sz w:val="22"/>
          <w:szCs w:val="22"/>
        </w:rPr>
        <w:t>手术灯中心照度≥160,000L</w:t>
      </w:r>
      <w:r>
        <w:rPr>
          <w:rFonts w:ascii="宋体" w:hAnsi="宋体" w:eastAsia="宋体"/>
          <w:color w:val="auto"/>
          <w:sz w:val="22"/>
          <w:szCs w:val="22"/>
        </w:rPr>
        <w:t>x</w:t>
      </w:r>
      <w:r>
        <w:rPr>
          <w:rFonts w:hint="eastAsia" w:ascii="宋体" w:hAnsi="宋体" w:eastAsia="宋体"/>
          <w:color w:val="auto"/>
          <w:sz w:val="22"/>
          <w:szCs w:val="22"/>
        </w:rPr>
        <w:t>。</w:t>
      </w:r>
    </w:p>
    <w:p w14:paraId="7C5EF049">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7.</w:t>
      </w:r>
      <w:r>
        <w:rPr>
          <w:rFonts w:hint="eastAsia" w:ascii="宋体" w:hAnsi="宋体" w:eastAsia="宋体"/>
          <w:color w:val="auto"/>
          <w:sz w:val="22"/>
          <w:szCs w:val="22"/>
        </w:rPr>
        <w:t>照明深度要求：2</w:t>
      </w:r>
      <w:r>
        <w:rPr>
          <w:rFonts w:ascii="宋体" w:hAnsi="宋体" w:eastAsia="宋体"/>
          <w:color w:val="auto"/>
          <w:sz w:val="22"/>
          <w:szCs w:val="22"/>
        </w:rPr>
        <w:t>0%</w:t>
      </w:r>
      <w:r>
        <w:rPr>
          <w:rFonts w:hint="eastAsia" w:ascii="宋体" w:hAnsi="宋体" w:eastAsia="宋体"/>
          <w:color w:val="auto"/>
          <w:sz w:val="22"/>
          <w:szCs w:val="22"/>
        </w:rPr>
        <w:t>光柱深度（大光斑）≥1</w:t>
      </w:r>
      <w:r>
        <w:rPr>
          <w:rFonts w:ascii="宋体" w:hAnsi="宋体" w:eastAsia="宋体"/>
          <w:color w:val="auto"/>
          <w:sz w:val="22"/>
          <w:szCs w:val="22"/>
        </w:rPr>
        <w:t>350mm</w:t>
      </w:r>
      <w:r>
        <w:rPr>
          <w:rFonts w:hint="eastAsia" w:ascii="宋体" w:hAnsi="宋体" w:eastAsia="宋体"/>
          <w:color w:val="auto"/>
          <w:sz w:val="22"/>
          <w:szCs w:val="22"/>
        </w:rPr>
        <w:t>。</w:t>
      </w:r>
    </w:p>
    <w:p w14:paraId="61351DCC">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8.</w:t>
      </w:r>
      <w:r>
        <w:rPr>
          <w:rFonts w:hint="eastAsia" w:ascii="宋体" w:hAnsi="宋体" w:eastAsia="宋体"/>
          <w:color w:val="auto"/>
          <w:sz w:val="22"/>
          <w:szCs w:val="22"/>
        </w:rPr>
        <w:t>★光斑直径可以调节，母灯及子灯均满足最小光斑直径d10≤1</w:t>
      </w:r>
      <w:r>
        <w:rPr>
          <w:rFonts w:ascii="宋体" w:hAnsi="宋体" w:eastAsia="宋体"/>
          <w:color w:val="auto"/>
          <w:sz w:val="22"/>
          <w:szCs w:val="22"/>
        </w:rPr>
        <w:t>5</w:t>
      </w:r>
      <w:r>
        <w:rPr>
          <w:rFonts w:hint="eastAsia" w:ascii="宋体" w:hAnsi="宋体" w:eastAsia="宋体"/>
          <w:color w:val="auto"/>
          <w:sz w:val="22"/>
          <w:szCs w:val="22"/>
        </w:rPr>
        <w:t>0mm，最大光斑直径d10为≥</w:t>
      </w:r>
      <w:r>
        <w:rPr>
          <w:rFonts w:ascii="宋体" w:hAnsi="宋体" w:eastAsia="宋体"/>
          <w:color w:val="auto"/>
          <w:sz w:val="22"/>
          <w:szCs w:val="22"/>
        </w:rPr>
        <w:t>27</w:t>
      </w:r>
      <w:r>
        <w:rPr>
          <w:rFonts w:hint="eastAsia" w:ascii="宋体" w:hAnsi="宋体" w:eastAsia="宋体"/>
          <w:color w:val="auto"/>
          <w:sz w:val="22"/>
          <w:szCs w:val="22"/>
        </w:rPr>
        <w:t>0mm</w:t>
      </w:r>
      <w:r>
        <w:rPr>
          <w:rFonts w:hint="eastAsia" w:ascii="宋体" w:hAnsi="宋体" w:eastAsia="宋体"/>
          <w:color w:val="auto"/>
          <w:sz w:val="22"/>
          <w:szCs w:val="22"/>
          <w:lang w:eastAsia="zh-CN"/>
        </w:rPr>
        <w:t>。</w:t>
      </w:r>
      <w:r>
        <w:rPr>
          <w:rFonts w:hint="eastAsia" w:ascii="宋体" w:hAnsi="宋体" w:eastAsia="宋体"/>
          <w:color w:val="auto"/>
          <w:sz w:val="22"/>
          <w:szCs w:val="22"/>
        </w:rPr>
        <w:t>（提供第三方检测文件证明）</w:t>
      </w:r>
    </w:p>
    <w:p w14:paraId="4DC50FEC">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9.</w:t>
      </w:r>
      <w:r>
        <w:rPr>
          <w:rFonts w:hint="eastAsia" w:ascii="宋体" w:hAnsi="宋体" w:eastAsia="宋体"/>
          <w:color w:val="auto"/>
          <w:sz w:val="22"/>
          <w:szCs w:val="22"/>
        </w:rPr>
        <w:t>光斑均匀性：d50/d10≥</w:t>
      </w:r>
      <w:r>
        <w:rPr>
          <w:rFonts w:ascii="宋体" w:hAnsi="宋体" w:eastAsia="宋体"/>
          <w:color w:val="auto"/>
          <w:sz w:val="22"/>
          <w:szCs w:val="22"/>
        </w:rPr>
        <w:t>55</w:t>
      </w:r>
      <w:r>
        <w:rPr>
          <w:rFonts w:hint="eastAsia" w:ascii="宋体" w:hAnsi="宋体" w:eastAsia="宋体"/>
          <w:color w:val="auto"/>
          <w:sz w:val="22"/>
          <w:szCs w:val="22"/>
        </w:rPr>
        <w:t>%。</w:t>
      </w:r>
    </w:p>
    <w:p w14:paraId="1C00B165">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10.</w:t>
      </w:r>
      <w:r>
        <w:rPr>
          <w:rFonts w:hint="eastAsia" w:ascii="宋体" w:hAnsi="宋体" w:eastAsia="宋体"/>
          <w:color w:val="auto"/>
          <w:sz w:val="22"/>
          <w:szCs w:val="22"/>
        </w:rPr>
        <w:t>母灯深腔照明率100%，子灯深腔照明率100%。</w:t>
      </w:r>
    </w:p>
    <w:p w14:paraId="7A3B50CC">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11.</w:t>
      </w:r>
      <w:r>
        <w:rPr>
          <w:rFonts w:hint="eastAsia" w:ascii="宋体" w:hAnsi="宋体" w:eastAsia="宋体"/>
          <w:color w:val="auto"/>
          <w:sz w:val="22"/>
          <w:szCs w:val="22"/>
        </w:rPr>
        <w:t>▲母灯在阴影管理模式开启状态，6级照度模式下，双遮板深腔无影率为≥</w:t>
      </w:r>
      <w:r>
        <w:rPr>
          <w:rFonts w:ascii="宋体" w:hAnsi="宋体" w:eastAsia="宋体"/>
          <w:color w:val="auto"/>
          <w:sz w:val="22"/>
          <w:szCs w:val="22"/>
        </w:rPr>
        <w:t>95</w:t>
      </w:r>
      <w:r>
        <w:rPr>
          <w:rFonts w:hint="eastAsia" w:ascii="宋体" w:hAnsi="宋体" w:eastAsia="宋体"/>
          <w:color w:val="auto"/>
          <w:sz w:val="22"/>
          <w:szCs w:val="22"/>
        </w:rPr>
        <w:t>%。（提供第三方检测文件证明）</w:t>
      </w:r>
    </w:p>
    <w:p w14:paraId="46819B95">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12.</w:t>
      </w:r>
      <w:r>
        <w:rPr>
          <w:rFonts w:hint="eastAsia" w:ascii="宋体" w:hAnsi="宋体" w:eastAsia="宋体"/>
          <w:color w:val="auto"/>
          <w:sz w:val="22"/>
          <w:szCs w:val="22"/>
        </w:rPr>
        <w:t>显色指数R</w:t>
      </w:r>
      <w:r>
        <w:rPr>
          <w:rFonts w:ascii="宋体" w:hAnsi="宋体" w:eastAsia="宋体"/>
          <w:color w:val="auto"/>
          <w:sz w:val="22"/>
          <w:szCs w:val="22"/>
        </w:rPr>
        <w:t>a</w:t>
      </w:r>
      <w:r>
        <w:rPr>
          <w:rFonts w:hint="eastAsia" w:ascii="宋体" w:hAnsi="宋体" w:eastAsia="宋体"/>
          <w:color w:val="auto"/>
          <w:sz w:val="22"/>
          <w:szCs w:val="22"/>
        </w:rPr>
        <w:t>≥99，显色指数R9≥97。</w:t>
      </w:r>
    </w:p>
    <w:p w14:paraId="753A6EA8">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13.</w:t>
      </w:r>
      <w:r>
        <w:rPr>
          <w:rFonts w:hint="eastAsia" w:ascii="宋体" w:hAnsi="宋体" w:eastAsia="宋体"/>
          <w:color w:val="auto"/>
          <w:sz w:val="22"/>
          <w:szCs w:val="22"/>
        </w:rPr>
        <w:t>▲具备色温可调功能，可调范围不小于350</w:t>
      </w:r>
      <w:r>
        <w:rPr>
          <w:rFonts w:ascii="宋体" w:hAnsi="宋体" w:eastAsia="宋体"/>
          <w:color w:val="auto"/>
          <w:sz w:val="22"/>
          <w:szCs w:val="22"/>
        </w:rPr>
        <w:t>0K-</w:t>
      </w:r>
      <w:r>
        <w:rPr>
          <w:rFonts w:hint="eastAsia" w:ascii="宋体" w:hAnsi="宋体" w:eastAsia="宋体"/>
          <w:color w:val="auto"/>
          <w:sz w:val="22"/>
          <w:szCs w:val="22"/>
        </w:rPr>
        <w:t>5</w:t>
      </w:r>
      <w:r>
        <w:rPr>
          <w:rFonts w:ascii="宋体" w:hAnsi="宋体" w:eastAsia="宋体"/>
          <w:color w:val="auto"/>
          <w:sz w:val="22"/>
          <w:szCs w:val="22"/>
        </w:rPr>
        <w:t>0</w:t>
      </w:r>
      <w:r>
        <w:rPr>
          <w:rFonts w:hint="eastAsia" w:ascii="宋体" w:hAnsi="宋体" w:eastAsia="宋体"/>
          <w:color w:val="auto"/>
          <w:sz w:val="22"/>
          <w:szCs w:val="22"/>
        </w:rPr>
        <w:t>0</w:t>
      </w:r>
      <w:r>
        <w:rPr>
          <w:rFonts w:ascii="宋体" w:hAnsi="宋体" w:eastAsia="宋体"/>
          <w:color w:val="auto"/>
          <w:sz w:val="22"/>
          <w:szCs w:val="22"/>
        </w:rPr>
        <w:t>0K</w:t>
      </w:r>
      <w:r>
        <w:rPr>
          <w:rFonts w:hint="eastAsia" w:ascii="宋体" w:hAnsi="宋体" w:eastAsia="宋体"/>
          <w:color w:val="auto"/>
          <w:sz w:val="22"/>
          <w:szCs w:val="22"/>
        </w:rPr>
        <w:t>，不少于5级可调。（</w:t>
      </w:r>
      <w:r>
        <w:rPr>
          <w:rFonts w:ascii="宋体" w:hAnsi="宋体" w:eastAsia="宋体"/>
          <w:color w:val="auto"/>
          <w:sz w:val="22"/>
          <w:szCs w:val="22"/>
        </w:rPr>
        <w:t>提供产品公开发行的彩页资料或产品说明书或检测报告任意一种均可</w:t>
      </w:r>
      <w:r>
        <w:rPr>
          <w:rFonts w:hint="eastAsia" w:ascii="宋体" w:hAnsi="宋体" w:eastAsia="宋体"/>
          <w:color w:val="auto"/>
          <w:sz w:val="22"/>
          <w:szCs w:val="22"/>
        </w:rPr>
        <w:t>）</w:t>
      </w:r>
    </w:p>
    <w:p w14:paraId="79BE21CB">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14.</w:t>
      </w:r>
      <w:r>
        <w:rPr>
          <w:rFonts w:hint="eastAsia" w:ascii="宋体" w:hAnsi="宋体" w:eastAsia="宋体"/>
          <w:color w:val="auto"/>
          <w:sz w:val="22"/>
          <w:szCs w:val="22"/>
        </w:rPr>
        <w:t>无影灯照度≥</w:t>
      </w:r>
      <w:r>
        <w:rPr>
          <w:rFonts w:ascii="宋体" w:hAnsi="宋体" w:eastAsia="宋体"/>
          <w:color w:val="auto"/>
          <w:sz w:val="22"/>
          <w:szCs w:val="22"/>
        </w:rPr>
        <w:t>10</w:t>
      </w:r>
      <w:r>
        <w:rPr>
          <w:rFonts w:hint="eastAsia" w:ascii="宋体" w:hAnsi="宋体" w:eastAsia="宋体"/>
          <w:color w:val="auto"/>
          <w:sz w:val="22"/>
          <w:szCs w:val="22"/>
        </w:rPr>
        <w:t>级可调节，同时具备一键腔镜模式。</w:t>
      </w:r>
    </w:p>
    <w:p w14:paraId="38A6F053">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15.</w:t>
      </w:r>
      <w:r>
        <w:rPr>
          <w:rFonts w:hint="eastAsia" w:ascii="宋体" w:hAnsi="宋体" w:eastAsia="宋体"/>
          <w:color w:val="auto"/>
          <w:sz w:val="22"/>
          <w:szCs w:val="22"/>
        </w:rPr>
        <w:t>★</w:t>
      </w:r>
      <w:r>
        <w:rPr>
          <w:rFonts w:ascii="宋体" w:hAnsi="宋体" w:eastAsia="宋体"/>
          <w:color w:val="auto"/>
          <w:sz w:val="22"/>
          <w:szCs w:val="22"/>
        </w:rPr>
        <w:t>无影灯具备抗频闪功能，使用PWM调光技术，非DC调光方式</w:t>
      </w:r>
      <w:r>
        <w:rPr>
          <w:rFonts w:hint="eastAsia" w:ascii="宋体" w:hAnsi="宋体" w:eastAsia="宋体"/>
          <w:color w:val="auto"/>
          <w:sz w:val="22"/>
          <w:szCs w:val="22"/>
          <w:lang w:eastAsia="zh-CN"/>
        </w:rPr>
        <w:t>。</w:t>
      </w:r>
      <w:r>
        <w:rPr>
          <w:rFonts w:ascii="宋体" w:hAnsi="宋体" w:eastAsia="宋体"/>
          <w:color w:val="auto"/>
          <w:sz w:val="22"/>
          <w:szCs w:val="22"/>
        </w:rPr>
        <w:t>（提供产品公开发行的彩页资料或产品说明书或检测报告任意一种均可）</w:t>
      </w:r>
    </w:p>
    <w:p w14:paraId="54B93993">
      <w:pPr>
        <w:numPr>
          <w:ilvl w:val="0"/>
          <w:numId w:val="0"/>
        </w:numPr>
        <w:spacing w:line="360" w:lineRule="auto"/>
        <w:ind w:leftChars="0"/>
        <w:rPr>
          <w:rFonts w:hint="eastAsia" w:ascii="宋体" w:hAnsi="宋体" w:eastAsia="宋体"/>
          <w:color w:val="auto"/>
          <w:sz w:val="22"/>
          <w:szCs w:val="22"/>
          <w:lang w:eastAsia="zh-CN"/>
        </w:rPr>
      </w:pPr>
      <w:r>
        <w:rPr>
          <w:rFonts w:hint="eastAsia" w:ascii="宋体" w:hAnsi="宋体" w:eastAsia="宋体"/>
          <w:color w:val="auto"/>
          <w:sz w:val="22"/>
          <w:szCs w:val="22"/>
          <w:lang w:val="en-US" w:eastAsia="zh-CN"/>
        </w:rPr>
        <w:t>16.</w:t>
      </w:r>
      <w:r>
        <w:rPr>
          <w:rFonts w:hint="eastAsia" w:ascii="宋体" w:hAnsi="宋体" w:eastAsia="宋体"/>
          <w:color w:val="auto"/>
          <w:sz w:val="22"/>
          <w:szCs w:val="22"/>
        </w:rPr>
        <w:t>腔镜模式环境光光斑直径≥</w:t>
      </w:r>
      <w:r>
        <w:rPr>
          <w:rFonts w:ascii="宋体" w:hAnsi="宋体" w:eastAsia="宋体"/>
          <w:color w:val="auto"/>
          <w:sz w:val="22"/>
          <w:szCs w:val="22"/>
        </w:rPr>
        <w:t>60</w:t>
      </w:r>
      <w:r>
        <w:rPr>
          <w:rFonts w:hint="eastAsia" w:ascii="宋体" w:hAnsi="宋体" w:eastAsia="宋体"/>
          <w:color w:val="auto"/>
          <w:sz w:val="22"/>
          <w:szCs w:val="22"/>
        </w:rPr>
        <w:t>cm，可覆盖胸腹腔，同时光斑均匀性不低于</w:t>
      </w:r>
      <w:r>
        <w:rPr>
          <w:rFonts w:ascii="宋体" w:hAnsi="宋体" w:eastAsia="宋体"/>
          <w:color w:val="auto"/>
          <w:sz w:val="22"/>
          <w:szCs w:val="22"/>
        </w:rPr>
        <w:t>50%</w:t>
      </w:r>
      <w:r>
        <w:rPr>
          <w:rFonts w:hint="eastAsia" w:ascii="宋体" w:hAnsi="宋体" w:eastAsia="宋体"/>
          <w:color w:val="auto"/>
          <w:sz w:val="22"/>
          <w:szCs w:val="22"/>
        </w:rPr>
        <w:t>，照度不低于3</w:t>
      </w:r>
      <w:r>
        <w:rPr>
          <w:rFonts w:ascii="宋体" w:hAnsi="宋体" w:eastAsia="宋体"/>
          <w:color w:val="auto"/>
          <w:sz w:val="22"/>
          <w:szCs w:val="22"/>
        </w:rPr>
        <w:t>000</w:t>
      </w:r>
      <w:r>
        <w:rPr>
          <w:rFonts w:hint="eastAsia" w:ascii="宋体" w:hAnsi="宋体" w:eastAsia="宋体"/>
          <w:color w:val="auto"/>
          <w:sz w:val="22"/>
          <w:szCs w:val="22"/>
        </w:rPr>
        <w:t>lux</w:t>
      </w:r>
      <w:r>
        <w:rPr>
          <w:rFonts w:hint="eastAsia" w:ascii="宋体" w:hAnsi="宋体" w:eastAsia="宋体"/>
          <w:color w:val="auto"/>
          <w:sz w:val="22"/>
          <w:szCs w:val="22"/>
          <w:lang w:eastAsia="zh-CN"/>
        </w:rPr>
        <w:t>。</w:t>
      </w:r>
    </w:p>
    <w:p w14:paraId="0BDD7D49">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17.</w:t>
      </w:r>
      <w:r>
        <w:rPr>
          <w:rFonts w:hint="eastAsia" w:ascii="宋体" w:hAnsi="宋体" w:eastAsia="宋体"/>
          <w:color w:val="auto"/>
          <w:sz w:val="22"/>
          <w:szCs w:val="22"/>
        </w:rPr>
        <w:t>▲具有多功能操作手柄，能够通过操作手柄实现光斑和照度调节。（</w:t>
      </w:r>
      <w:r>
        <w:rPr>
          <w:rFonts w:ascii="宋体" w:hAnsi="宋体" w:eastAsia="宋体"/>
          <w:color w:val="auto"/>
          <w:sz w:val="22"/>
          <w:szCs w:val="22"/>
        </w:rPr>
        <w:t>提供产品公开发行的彩页资料或产品说明书或检测报告任意一种均可</w:t>
      </w:r>
      <w:r>
        <w:rPr>
          <w:rFonts w:hint="eastAsia" w:ascii="宋体" w:hAnsi="宋体" w:eastAsia="宋体"/>
          <w:color w:val="auto"/>
          <w:sz w:val="22"/>
          <w:szCs w:val="22"/>
        </w:rPr>
        <w:t>）</w:t>
      </w:r>
    </w:p>
    <w:p w14:paraId="582AF012">
      <w:pPr>
        <w:numPr>
          <w:ilvl w:val="0"/>
          <w:numId w:val="0"/>
        </w:numPr>
        <w:spacing w:line="360" w:lineRule="auto"/>
        <w:ind w:leftChars="0"/>
        <w:rPr>
          <w:rFonts w:ascii="宋体" w:hAnsi="宋体" w:eastAsia="宋体"/>
          <w:color w:val="auto"/>
          <w:sz w:val="22"/>
          <w:szCs w:val="22"/>
        </w:rPr>
      </w:pPr>
      <w:r>
        <w:rPr>
          <w:rFonts w:hint="eastAsia" w:ascii="宋体" w:hAnsi="宋体" w:eastAsia="宋体"/>
          <w:color w:val="auto"/>
          <w:sz w:val="22"/>
          <w:szCs w:val="22"/>
          <w:lang w:val="en-US" w:eastAsia="zh-CN"/>
        </w:rPr>
        <w:t>18.</w:t>
      </w:r>
      <w:r>
        <w:rPr>
          <w:rFonts w:hint="eastAsia" w:ascii="宋体" w:hAnsi="宋体" w:eastAsia="宋体"/>
          <w:color w:val="auto"/>
          <w:sz w:val="22"/>
          <w:szCs w:val="22"/>
        </w:rPr>
        <w:t>无影灯采用模块化设计，安装时不需要拆卸天花且不会改变层流结构，即可于无影灯旋转体基础上升级第三臂或第四臂显示器悬挂系统。</w:t>
      </w:r>
    </w:p>
    <w:p w14:paraId="216A88BA">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jc w:val="both"/>
        <w:textAlignment w:val="baseline"/>
        <w:outlineLvl w:val="9"/>
        <w:rPr>
          <w:rFonts w:hint="eastAsia" w:ascii="宋体" w:hAnsi="宋体" w:eastAsia="宋体" w:cs="宋体"/>
          <w:b/>
          <w:bCs/>
          <w:color w:val="auto"/>
          <w:kern w:val="44"/>
          <w:sz w:val="28"/>
          <w:szCs w:val="28"/>
          <w:highlight w:val="none"/>
          <w:lang w:val="en-US" w:eastAsia="zh-CN"/>
        </w:rPr>
      </w:pPr>
    </w:p>
    <w:p w14:paraId="56240CB9">
      <w:pPr>
        <w:pStyle w:val="24"/>
        <w:spacing w:line="360" w:lineRule="auto"/>
        <w:ind w:left="450" w:firstLine="0" w:firstLineChars="0"/>
        <w:jc w:val="center"/>
        <w:rPr>
          <w:rFonts w:ascii="宋体" w:hAnsi="宋体"/>
          <w:b/>
          <w:color w:val="auto"/>
          <w:sz w:val="28"/>
          <w:szCs w:val="21"/>
        </w:rPr>
      </w:pPr>
      <w:r>
        <w:rPr>
          <w:rFonts w:hint="eastAsia" w:ascii="宋体" w:hAnsi="宋体"/>
          <w:b/>
          <w:color w:val="auto"/>
          <w:sz w:val="28"/>
          <w:szCs w:val="21"/>
        </w:rPr>
        <w:t>手术床技术参数</w:t>
      </w:r>
    </w:p>
    <w:p w14:paraId="67C58337">
      <w:pPr>
        <w:pStyle w:val="24"/>
        <w:numPr>
          <w:ilvl w:val="0"/>
          <w:numId w:val="0"/>
        </w:numPr>
        <w:spacing w:line="360" w:lineRule="auto"/>
        <w:ind w:leftChars="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手术床为电动液压驱动机制，电动调节床面升降、前后倾、左右倾、背板升降、刹车5个主要动作组。</w:t>
      </w:r>
    </w:p>
    <w:p w14:paraId="3FDA16A2">
      <w:pPr>
        <w:pStyle w:val="24"/>
        <w:numPr>
          <w:ilvl w:val="0"/>
          <w:numId w:val="0"/>
        </w:numPr>
        <w:spacing w:line="360" w:lineRule="auto"/>
        <w:ind w:leftChars="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手术床具备电动平移功能，非机械平移方式，且平移功能由独立的液压缸驱动动作。</w:t>
      </w:r>
    </w:p>
    <w:p w14:paraId="1B68B463">
      <w:pPr>
        <w:pStyle w:val="24"/>
        <w:numPr>
          <w:ilvl w:val="0"/>
          <w:numId w:val="0"/>
        </w:numPr>
        <w:spacing w:line="360" w:lineRule="auto"/>
        <w:ind w:leftChars="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手术床配有高性能充电电池，可满足约1周手术需要，确保手术床在无交流电源供电状态下工作。充电电池无需保养和维护,可长时间使用。同时具有交流电源供电功能，确保最大的安全性。</w:t>
      </w:r>
    </w:p>
    <w:p w14:paraId="03F74BCC">
      <w:pPr>
        <w:pStyle w:val="24"/>
        <w:numPr>
          <w:ilvl w:val="0"/>
          <w:numId w:val="0"/>
        </w:numPr>
        <w:spacing w:line="360" w:lineRule="auto"/>
        <w:ind w:leftChars="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▲手术床控制必须满足手持有线控制器和床身立柱应急控制面板（立柱应急面板位于立柱上方便操作）两套控制方式，且两套控制方式相互独立。确保手术床在一套控制系统发生故障时，另一套仍能可靠运行</w:t>
      </w:r>
      <w:bookmarkStart w:id="39" w:name="_Hlk32715398"/>
      <w:r>
        <w:rPr>
          <w:rFonts w:hint="eastAsia" w:ascii="宋体" w:hAnsi="宋体" w:eastAsia="宋体" w:cs="宋体"/>
          <w:color w:val="auto"/>
          <w:sz w:val="22"/>
          <w:szCs w:val="22"/>
        </w:rPr>
        <w:t>，同时可选配无线遥控器、脚踏开关</w:t>
      </w:r>
      <w:bookmarkEnd w:id="39"/>
      <w:r>
        <w:rPr>
          <w:rFonts w:hint="eastAsia" w:ascii="宋体" w:hAnsi="宋体" w:eastAsia="宋体" w:cs="宋体"/>
          <w:color w:val="auto"/>
          <w:sz w:val="22"/>
          <w:szCs w:val="22"/>
        </w:rPr>
        <w:t>（提供产品公开发行的彩页资料或产品说明书或检测报告任意一种均可）</w:t>
      </w:r>
    </w:p>
    <w:p w14:paraId="4900FF20">
      <w:pPr>
        <w:pStyle w:val="24"/>
        <w:numPr>
          <w:ilvl w:val="0"/>
          <w:numId w:val="0"/>
        </w:numPr>
        <w:spacing w:line="360" w:lineRule="auto"/>
        <w:ind w:leftChars="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★手术床最大承重≥360kg。（提供产品公开发行的彩页资料或产品说明书或检测报告任意一种均可）</w:t>
      </w:r>
    </w:p>
    <w:p w14:paraId="68A6434A">
      <w:pPr>
        <w:pStyle w:val="24"/>
        <w:numPr>
          <w:ilvl w:val="0"/>
          <w:numId w:val="0"/>
        </w:numPr>
        <w:spacing w:line="360" w:lineRule="auto"/>
        <w:ind w:leftChars="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手术床台面框架、边轨和立柱采用优质不锈钢制成，抗撞击，耐腐蚀，耐消毒，永不生锈，坚固耐用。</w:t>
      </w:r>
    </w:p>
    <w:p w14:paraId="0A1207B5">
      <w:pPr>
        <w:numPr>
          <w:ilvl w:val="0"/>
          <w:numId w:val="0"/>
        </w:numPr>
        <w:spacing w:line="360" w:lineRule="auto"/>
        <w:ind w:left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▲手术床床垫由质地柔软的双层记忆海绵整体制成，厚度≥75mm。床垫接缝处采用无缝烫接技术，防水透气易清洗，防静电；同时手术床床垫通过防火等级测试（提供第三方防火测试报告）</w:t>
      </w:r>
    </w:p>
    <w:p w14:paraId="16A70CF7">
      <w:pPr>
        <w:numPr>
          <w:ilvl w:val="0"/>
          <w:numId w:val="0"/>
        </w:numPr>
        <w:spacing w:line="360" w:lineRule="auto"/>
        <w:ind w:left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手术床床板由头板、背板、臀板及可分开式腿板等五部分组成。头板可拆卸；腿板可拆卸、可分叉，采用进口气弹簧组件助力；</w:t>
      </w:r>
    </w:p>
    <w:p w14:paraId="762240E7">
      <w:pPr>
        <w:numPr>
          <w:ilvl w:val="0"/>
          <w:numId w:val="0"/>
        </w:numPr>
        <w:spacing w:line="360" w:lineRule="auto"/>
        <w:ind w:left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▲头板和腿板可前后互换，同时具备一键快拆结构，不需要额外旋转螺丝。（提供产品公开发行的彩页资料或产品说明书或检测报告任意一种均可）</w:t>
      </w:r>
    </w:p>
    <w:p w14:paraId="1087545C">
      <w:pPr>
        <w:numPr>
          <w:ilvl w:val="0"/>
          <w:numId w:val="0"/>
        </w:numPr>
        <w:spacing w:line="360" w:lineRule="auto"/>
        <w:ind w:left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▲手术床采用独立电动液压控制刹车，能够轻松将手术床固定或移动，非轮式刹车。（提供产品公开发行的彩页资料或产品说明书或检测报告任意一种均可）</w:t>
      </w:r>
    </w:p>
    <w:p w14:paraId="4752AEC7">
      <w:pPr>
        <w:numPr>
          <w:ilvl w:val="0"/>
          <w:numId w:val="0"/>
        </w:numPr>
        <w:spacing w:line="360" w:lineRule="auto"/>
        <w:ind w:left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同时具有一键形成屈曲、反屈曲体位功能，一键复位功能。（提供第三方检验报告）</w:t>
      </w:r>
    </w:p>
    <w:p w14:paraId="46257DA6">
      <w:pPr>
        <w:numPr>
          <w:ilvl w:val="0"/>
          <w:numId w:val="0"/>
        </w:numPr>
        <w:spacing w:line="360" w:lineRule="auto"/>
        <w:ind w:left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★手术床台面最低高度≤520mm。（提供产品公开发行的彩页资料或产品说明书或检测报告任意一种均可）</w:t>
      </w:r>
    </w:p>
    <w:p w14:paraId="050ECD54">
      <w:pPr>
        <w:numPr>
          <w:ilvl w:val="0"/>
          <w:numId w:val="0"/>
        </w:numPr>
        <w:spacing w:line="360" w:lineRule="auto"/>
        <w:ind w:left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13.</w:t>
      </w:r>
      <w:r>
        <w:rPr>
          <w:rFonts w:hint="eastAsia" w:ascii="宋体" w:hAnsi="宋体" w:eastAsia="宋体" w:cs="宋体"/>
          <w:color w:val="auto"/>
          <w:sz w:val="22"/>
          <w:szCs w:val="22"/>
        </w:rPr>
        <w:t>手术床出厂前经过油路透析处理，保证手术床经久耐用。</w:t>
      </w:r>
    </w:p>
    <w:p w14:paraId="2AFC02C3">
      <w:pPr>
        <w:numPr>
          <w:ilvl w:val="0"/>
          <w:numId w:val="0"/>
        </w:numPr>
        <w:spacing w:line="360" w:lineRule="auto"/>
        <w:ind w:left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14.</w:t>
      </w:r>
      <w:r>
        <w:rPr>
          <w:rFonts w:hint="eastAsia" w:ascii="宋体" w:hAnsi="宋体" w:eastAsia="宋体" w:cs="宋体"/>
          <w:color w:val="auto"/>
          <w:sz w:val="22"/>
          <w:szCs w:val="22"/>
        </w:rPr>
        <w:t>技术参数：</w:t>
      </w:r>
    </w:p>
    <w:p w14:paraId="1C80078D">
      <w:pPr>
        <w:pStyle w:val="24"/>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14.1 手术床长度≥2040mm</w:t>
      </w:r>
    </w:p>
    <w:p w14:paraId="5BCAD1B0">
      <w:pPr>
        <w:pStyle w:val="24"/>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14.2 手术床宽度≥520mm</w:t>
      </w:r>
    </w:p>
    <w:p w14:paraId="0769B8CE">
      <w:pPr>
        <w:pStyle w:val="24"/>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14.3 手术床升降行程≥499mm</w:t>
      </w:r>
    </w:p>
    <w:p w14:paraId="5C2A5A92">
      <w:pPr>
        <w:pStyle w:val="24"/>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14.4 台面前后倾角度：≥26°</w:t>
      </w:r>
    </w:p>
    <w:p w14:paraId="1ED9F7C3">
      <w:pPr>
        <w:pStyle w:val="24"/>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14.5 台面左右倾角度：≥21°</w:t>
      </w:r>
    </w:p>
    <w:p w14:paraId="6C1C55E5">
      <w:pPr>
        <w:pStyle w:val="24"/>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14.6 背板折转角度：上折≥80°、下折≥40°</w:t>
      </w:r>
    </w:p>
    <w:p w14:paraId="4E83FE59">
      <w:pPr>
        <w:pStyle w:val="24"/>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14.7 腿板折转角度：上折≥20°、下折≥90°，外折角度≥90°</w:t>
      </w:r>
    </w:p>
    <w:p w14:paraId="35690051">
      <w:pPr>
        <w:pStyle w:val="24"/>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14.8 台面平移距离≥320mm（提供第三方检验报告）</w:t>
      </w:r>
    </w:p>
    <w:p w14:paraId="35500445">
      <w:pPr>
        <w:pStyle w:val="24"/>
        <w:numPr>
          <w:ilvl w:val="0"/>
          <w:numId w:val="0"/>
        </w:numPr>
        <w:spacing w:line="360" w:lineRule="auto"/>
        <w:ind w:leftChars="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15.</w:t>
      </w:r>
      <w:r>
        <w:rPr>
          <w:rFonts w:hint="eastAsia" w:ascii="宋体" w:hAnsi="宋体" w:eastAsia="宋体" w:cs="宋体"/>
          <w:color w:val="auto"/>
          <w:sz w:val="22"/>
          <w:szCs w:val="22"/>
        </w:rPr>
        <w:t>基本配置：电动手术床主床,配床垫，头板，分体式腿板，背板，臀板，台柱应急控制面板，有线遥控器，托手架一对，麻醉屏架一个</w:t>
      </w:r>
      <w:r>
        <w:rPr>
          <w:rFonts w:hint="eastAsia" w:ascii="宋体" w:hAnsi="宋体" w:eastAsia="宋体" w:cs="宋体"/>
          <w:color w:val="auto"/>
          <w:sz w:val="22"/>
          <w:szCs w:val="22"/>
          <w:lang w:eastAsia="zh-CN"/>
        </w:rPr>
        <w:t>。</w:t>
      </w:r>
    </w:p>
    <w:p w14:paraId="4DA6F3E7">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ascii="宋体" w:hAnsi="宋体"/>
          <w:b/>
          <w:color w:val="auto"/>
          <w:sz w:val="28"/>
        </w:rPr>
      </w:pPr>
      <w:r>
        <w:rPr>
          <w:rFonts w:hint="eastAsia" w:ascii="宋体" w:hAnsi="宋体"/>
          <w:b/>
          <w:color w:val="auto"/>
          <w:sz w:val="28"/>
        </w:rPr>
        <w:t>机械外科塔技术参数</w:t>
      </w:r>
    </w:p>
    <w:p w14:paraId="4EFA4449">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吊塔主体材料为6005高强度铝合金</w:t>
      </w:r>
    </w:p>
    <w:p w14:paraId="72C34F08">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表面环保粉末喷塑，粉末通过抑菌检测。</w:t>
      </w:r>
    </w:p>
    <w:p w14:paraId="2D124DE0">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▲吊塔外壳涂膜附着力需达到附着力标准0级要求，防止发生感控风险（提供第三方检测文件证明）</w:t>
      </w:r>
    </w:p>
    <w:p w14:paraId="34F6E6A4">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▲吊塔外壳在中性盐雾试验可达到外观评级10级要求（提供第三方检测文件证明）</w:t>
      </w:r>
    </w:p>
    <w:p w14:paraId="6AE36766">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★吊塔最大宣称承重≥650Kg，同时安全承重应为宣称承重的4倍。（提供第三方检测文件证明）</w:t>
      </w:r>
    </w:p>
    <w:p w14:paraId="51DCA67F">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悬臂、终端箱转动范围≥340°，且具有良好的限位系统；</w:t>
      </w:r>
    </w:p>
    <w:p w14:paraId="06AC7554">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所有吊塔上承载的设备的电源线路及气源管路和塔体之间没有相对移动，所有电源线路及气源管路必须在塔体内不能外露，保证吊塔在移动过程中，不会因位置的改变导致线路脱落的意外发生。</w:t>
      </w:r>
    </w:p>
    <w:p w14:paraId="6843C044">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所有吊塔均须配有良好的机械系统，保证吊塔不产生漂移。</w:t>
      </w:r>
    </w:p>
    <w:p w14:paraId="376E128B">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托盘必须为铝合金材质，一体成型，纯平设计，表面无螺钉</w:t>
      </w:r>
      <w:r>
        <w:rPr>
          <w:rFonts w:hint="eastAsia" w:ascii="宋体" w:hAnsi="宋体" w:eastAsia="宋体" w:cs="宋体"/>
          <w:color w:val="auto"/>
          <w:sz w:val="22"/>
          <w:szCs w:val="22"/>
          <w:lang w:eastAsia="zh-CN"/>
        </w:rPr>
        <w:t>。</w:t>
      </w:r>
    </w:p>
    <w:p w14:paraId="12D3C485">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抽屉，采用抽拉式，且自带吸合功能</w:t>
      </w:r>
      <w:r>
        <w:rPr>
          <w:rFonts w:hint="eastAsia" w:ascii="宋体" w:hAnsi="宋体" w:eastAsia="宋体" w:cs="宋体"/>
          <w:color w:val="auto"/>
          <w:sz w:val="22"/>
          <w:szCs w:val="22"/>
          <w:lang w:eastAsia="zh-CN"/>
        </w:rPr>
        <w:t>。</w:t>
      </w:r>
    </w:p>
    <w:p w14:paraId="769165E8">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▲箱体结构：要求为≥六面设计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（提供产品公开发行的彩页资料或产品说明书或检测报告任意一种均可）</w:t>
      </w:r>
    </w:p>
    <w:p w14:paraId="3E3C9B05">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吊塔承载部件经承受2倍额定安全载荷后，应无永久性的损坏，且相对负载表面的偏移应≤10º。（提供第三方检测文件证明）</w:t>
      </w:r>
    </w:p>
    <w:p w14:paraId="4F41648C">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13.</w:t>
      </w:r>
      <w:r>
        <w:rPr>
          <w:rFonts w:hint="eastAsia" w:ascii="宋体" w:hAnsi="宋体" w:eastAsia="宋体" w:cs="宋体"/>
          <w:color w:val="auto"/>
          <w:sz w:val="22"/>
          <w:szCs w:val="22"/>
        </w:rPr>
        <w:t>★基础架平缓施加荷载至10000N·m的试验扭矩，持续10分钟，法兰盘水平偏角≤0.4°</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（提供第三方检测文件证明）</w:t>
      </w:r>
    </w:p>
    <w:p w14:paraId="24B9371D">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14.</w:t>
      </w:r>
      <w:r>
        <w:rPr>
          <w:rFonts w:hint="eastAsia" w:ascii="宋体" w:hAnsi="宋体" w:eastAsia="宋体" w:cs="宋体"/>
          <w:color w:val="auto"/>
          <w:sz w:val="22"/>
          <w:szCs w:val="22"/>
        </w:rPr>
        <w:t>吊塔平面推力滚针轴承在300KG负载下可连续运行≥11万次。（提供第三方检测文件证明）</w:t>
      </w:r>
    </w:p>
    <w:p w14:paraId="5799F550">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15.</w:t>
      </w:r>
      <w:r>
        <w:rPr>
          <w:rFonts w:hint="eastAsia" w:ascii="宋体" w:hAnsi="宋体" w:eastAsia="宋体" w:cs="宋体"/>
          <w:color w:val="auto"/>
          <w:sz w:val="22"/>
          <w:szCs w:val="22"/>
        </w:rPr>
        <w:t>吊塔的医用气体管道系统（刹车除外）应能承受1.2MPa的气压试验，不得出现明显漏气或破裂现象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（提供第三方检测文件证明）</w:t>
      </w:r>
    </w:p>
    <w:p w14:paraId="294F7A60">
      <w:pPr>
        <w:numPr>
          <w:ilvl w:val="0"/>
          <w:numId w:val="0"/>
        </w:numPr>
        <w:spacing w:line="360" w:lineRule="auto"/>
        <w:ind w:leftChars="0"/>
        <w:jc w:val="both"/>
        <w:rPr>
          <w:rFonts w:hint="eastAsia" w:ascii="宋体" w:hAnsi="宋体" w:eastAsia="宋体" w:cs="宋体"/>
          <w:color w:val="auto"/>
          <w:sz w:val="22"/>
          <w:szCs w:val="22"/>
        </w:rPr>
      </w:pPr>
      <w:bookmarkStart w:id="40" w:name="_Hlk169502323"/>
      <w:r>
        <w:rPr>
          <w:rFonts w:hint="eastAsia" w:ascii="宋体" w:hAnsi="宋体" w:eastAsia="宋体" w:cs="宋体"/>
          <w:color w:val="auto"/>
          <w:sz w:val="22"/>
          <w:szCs w:val="22"/>
          <w:lang w:val="en-US" w:eastAsia="zh-CN"/>
        </w:rPr>
        <w:t>16.</w:t>
      </w:r>
      <w:r>
        <w:rPr>
          <w:rFonts w:hint="eastAsia" w:ascii="宋体" w:hAnsi="宋体" w:eastAsia="宋体" w:cs="宋体"/>
          <w:color w:val="auto"/>
          <w:sz w:val="22"/>
          <w:szCs w:val="22"/>
        </w:rPr>
        <w:t>吊塔所有气体插座和接头为德标制式。各种气体插座均为不同颜色和不同形状，防止误操作，具有Standby(原位待接通状态)功能，可带气维修。</w:t>
      </w:r>
    </w:p>
    <w:p w14:paraId="09962A7D">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17.</w:t>
      </w:r>
      <w:r>
        <w:rPr>
          <w:rFonts w:hint="eastAsia" w:ascii="宋体" w:hAnsi="宋体" w:eastAsia="宋体" w:cs="宋体"/>
          <w:color w:val="auto"/>
          <w:sz w:val="22"/>
          <w:szCs w:val="22"/>
        </w:rPr>
        <w:t>气体终端可提供≥5万次插拔测试证明</w:t>
      </w:r>
      <w:bookmarkStart w:id="41" w:name="_Hlk169502396"/>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（提供第三方检测文件证明）</w:t>
      </w:r>
    </w:p>
    <w:bookmarkEnd w:id="40"/>
    <w:bookmarkEnd w:id="41"/>
    <w:p w14:paraId="480C93D1">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18.</w:t>
      </w:r>
      <w:r>
        <w:rPr>
          <w:rFonts w:hint="eastAsia" w:ascii="宋体" w:hAnsi="宋体" w:eastAsia="宋体" w:cs="宋体"/>
          <w:color w:val="auto"/>
          <w:sz w:val="22"/>
          <w:szCs w:val="22"/>
        </w:rPr>
        <w:t>吊塔的负压吸引系统应能承受500kPa的气压试验，不得出现明显漏气或破裂现象。（提供第三方检测文件证明）</w:t>
      </w:r>
    </w:p>
    <w:p w14:paraId="2DA6A569">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19.</w:t>
      </w:r>
      <w:r>
        <w:rPr>
          <w:rFonts w:hint="eastAsia" w:ascii="宋体" w:hAnsi="宋体" w:eastAsia="宋体" w:cs="宋体"/>
          <w:color w:val="auto"/>
          <w:sz w:val="22"/>
          <w:szCs w:val="22"/>
        </w:rPr>
        <w:t>依据ISO 11197 201.11.2.2.101要求，底板具有开孔，在模拟氧气泄露流量为1L/min时，腔体内部的氧气浓度不超过25%。（提供第三方检测文件证明）</w:t>
      </w:r>
    </w:p>
    <w:p w14:paraId="21449CB0">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20.</w:t>
      </w:r>
      <w:r>
        <w:rPr>
          <w:rFonts w:hint="eastAsia" w:ascii="宋体" w:hAnsi="宋体" w:eastAsia="宋体" w:cs="宋体"/>
          <w:color w:val="auto"/>
          <w:sz w:val="22"/>
          <w:szCs w:val="22"/>
        </w:rPr>
        <w:t>吊塔的外壳防护等级应符合GB/T 4208-2017中IP20的规定。（提供第三方检测文件证明）</w:t>
      </w:r>
    </w:p>
    <w:p w14:paraId="2436D055">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21.</w:t>
      </w:r>
      <w:r>
        <w:rPr>
          <w:rFonts w:hint="eastAsia" w:ascii="宋体" w:hAnsi="宋体" w:eastAsia="宋体" w:cs="宋体"/>
          <w:color w:val="auto"/>
          <w:sz w:val="22"/>
          <w:szCs w:val="22"/>
        </w:rPr>
        <w:t>吊塔的外壳防火等级至少为UL94-V1级。（提供第三方检测文件证明）</w:t>
      </w:r>
    </w:p>
    <w:p w14:paraId="21943AE2">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22.</w:t>
      </w:r>
      <w:r>
        <w:rPr>
          <w:rFonts w:hint="eastAsia" w:ascii="宋体" w:hAnsi="宋体" w:eastAsia="宋体" w:cs="宋体"/>
          <w:color w:val="auto"/>
          <w:sz w:val="22"/>
          <w:szCs w:val="22"/>
        </w:rPr>
        <w:t>★吊塔在正常工作过程中噪声应≤ 35dB（A）。（提供第三方检测文件证明）</w:t>
      </w:r>
    </w:p>
    <w:p w14:paraId="20FEC1DD">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23.</w:t>
      </w:r>
      <w:r>
        <w:rPr>
          <w:rFonts w:hint="eastAsia" w:ascii="宋体" w:hAnsi="宋体" w:eastAsia="宋体" w:cs="宋体"/>
          <w:color w:val="auto"/>
          <w:sz w:val="22"/>
          <w:szCs w:val="22"/>
        </w:rPr>
        <w:t>配置要求：</w:t>
      </w:r>
    </w:p>
    <w:p w14:paraId="558961A9">
      <w:pPr>
        <w:numPr>
          <w:ilvl w:val="0"/>
          <w:numId w:val="0"/>
        </w:numPr>
        <w:spacing w:line="360" w:lineRule="auto"/>
        <w:ind w:leftChars="0" w:firstLine="220" w:firstLineChars="100"/>
        <w:jc w:val="both"/>
        <w:rPr>
          <w:rFonts w:hint="eastAsia" w:ascii="宋体" w:hAnsi="宋体" w:eastAsia="宋体" w:cs="宋体"/>
          <w:color w:val="auto"/>
          <w:sz w:val="22"/>
          <w:szCs w:val="22"/>
        </w:rPr>
      </w:pPr>
      <w:r>
        <w:rPr>
          <w:rFonts w:hint="eastAsia" w:ascii="宋体" w:hAnsi="宋体" w:eastAsia="宋体" w:cs="宋体"/>
          <w:color w:val="auto"/>
          <w:sz w:val="22"/>
          <w:szCs w:val="22"/>
        </w:rPr>
        <w:t>23.1气电箱为吊柱式；</w:t>
      </w:r>
    </w:p>
    <w:p w14:paraId="40F65D9D">
      <w:pPr>
        <w:numPr>
          <w:ilvl w:val="0"/>
          <w:numId w:val="0"/>
        </w:numPr>
        <w:spacing w:line="360" w:lineRule="auto"/>
        <w:ind w:leftChars="0" w:firstLine="220" w:firstLineChars="100"/>
        <w:jc w:val="both"/>
        <w:rPr>
          <w:rFonts w:hint="eastAsia" w:ascii="宋体" w:hAnsi="宋体" w:eastAsia="宋体" w:cs="宋体"/>
          <w:color w:val="auto"/>
          <w:sz w:val="22"/>
          <w:szCs w:val="22"/>
        </w:rPr>
      </w:pPr>
      <w:r>
        <w:rPr>
          <w:rFonts w:hint="eastAsia" w:ascii="宋体" w:hAnsi="宋体" w:eastAsia="宋体" w:cs="宋体"/>
          <w:color w:val="auto"/>
          <w:sz w:val="22"/>
          <w:szCs w:val="22"/>
        </w:rPr>
        <w:t>23.2德式标准气体终端：氧气2个，负压吸引2个，压缩空气1个，二氧化碳1个，氮气1个，并包含对应气体的插头；</w:t>
      </w:r>
    </w:p>
    <w:p w14:paraId="7CF89001">
      <w:pPr>
        <w:numPr>
          <w:ilvl w:val="0"/>
          <w:numId w:val="0"/>
        </w:numPr>
        <w:spacing w:line="360" w:lineRule="auto"/>
        <w:ind w:leftChars="0" w:firstLine="220" w:firstLineChars="100"/>
        <w:jc w:val="both"/>
        <w:rPr>
          <w:rFonts w:hint="eastAsia" w:ascii="宋体" w:hAnsi="宋体" w:eastAsia="宋体" w:cs="宋体"/>
          <w:color w:val="auto"/>
          <w:sz w:val="22"/>
          <w:szCs w:val="22"/>
        </w:rPr>
      </w:pPr>
      <w:r>
        <w:rPr>
          <w:rFonts w:hint="eastAsia" w:ascii="宋体" w:hAnsi="宋体" w:eastAsia="宋体" w:cs="宋体"/>
          <w:color w:val="auto"/>
          <w:sz w:val="22"/>
          <w:szCs w:val="22"/>
        </w:rPr>
        <w:t>23.3国标电源插座10个，16A电源插座1个，6类网络接口2个，等电位柱2个；</w:t>
      </w:r>
    </w:p>
    <w:p w14:paraId="761C78DF">
      <w:pPr>
        <w:numPr>
          <w:ilvl w:val="0"/>
          <w:numId w:val="0"/>
        </w:numPr>
        <w:spacing w:line="360" w:lineRule="auto"/>
        <w:ind w:leftChars="0" w:firstLine="220" w:firstLineChars="100"/>
        <w:jc w:val="both"/>
        <w:rPr>
          <w:rFonts w:hint="eastAsia" w:ascii="宋体" w:hAnsi="宋体" w:eastAsia="宋体" w:cs="宋体"/>
          <w:color w:val="auto"/>
          <w:sz w:val="22"/>
          <w:szCs w:val="22"/>
        </w:rPr>
      </w:pPr>
      <w:r>
        <w:rPr>
          <w:rFonts w:hint="eastAsia" w:ascii="宋体" w:hAnsi="宋体" w:eastAsia="宋体" w:cs="宋体"/>
          <w:color w:val="auto"/>
          <w:sz w:val="22"/>
          <w:szCs w:val="22"/>
        </w:rPr>
        <w:t>23.4仪器承载托盘2个，1个带自吸合抽屉，尺寸≥530X480mm；</w:t>
      </w:r>
    </w:p>
    <w:p w14:paraId="0587F4C2">
      <w:pPr>
        <w:numPr>
          <w:ilvl w:val="0"/>
          <w:numId w:val="0"/>
        </w:numPr>
        <w:spacing w:line="360" w:lineRule="auto"/>
        <w:ind w:leftChars="0" w:firstLine="220" w:firstLineChars="100"/>
        <w:jc w:val="both"/>
        <w:rPr>
          <w:rFonts w:hint="eastAsia" w:ascii="宋体" w:hAnsi="宋体" w:eastAsia="宋体" w:cs="宋体"/>
          <w:color w:val="auto"/>
          <w:sz w:val="22"/>
          <w:szCs w:val="22"/>
        </w:rPr>
      </w:pPr>
      <w:r>
        <w:rPr>
          <w:rFonts w:hint="eastAsia" w:ascii="宋体" w:hAnsi="宋体" w:eastAsia="宋体" w:cs="宋体"/>
          <w:color w:val="auto"/>
          <w:sz w:val="22"/>
          <w:szCs w:val="22"/>
        </w:rPr>
        <w:t>23.5输液杆2个；</w:t>
      </w:r>
    </w:p>
    <w:p w14:paraId="6A07A5D2">
      <w:pPr>
        <w:spacing w:line="360" w:lineRule="auto"/>
        <w:jc w:val="center"/>
        <w:rPr>
          <w:rFonts w:ascii="宋体" w:hAnsi="宋体"/>
          <w:b/>
          <w:color w:val="auto"/>
          <w:sz w:val="28"/>
        </w:rPr>
      </w:pPr>
      <w:r>
        <w:rPr>
          <w:rFonts w:hint="eastAsia" w:ascii="宋体" w:hAnsi="宋体"/>
          <w:b/>
          <w:color w:val="auto"/>
          <w:sz w:val="28"/>
        </w:rPr>
        <w:t>电动麻醉塔技术参数</w:t>
      </w:r>
    </w:p>
    <w:p w14:paraId="4C96615F">
      <w:pPr>
        <w:spacing w:line="360" w:lineRule="auto"/>
        <w:jc w:val="both"/>
        <w:rPr>
          <w:rFonts w:hint="eastAsia" w:ascii="宋体" w:hAnsi="宋体" w:eastAsia="宋体" w:cs="宋体"/>
          <w:b/>
          <w:color w:val="auto"/>
          <w:sz w:val="22"/>
          <w:szCs w:val="22"/>
        </w:rPr>
      </w:pPr>
      <w:r>
        <w:rPr>
          <w:rFonts w:hint="eastAsia" w:ascii="宋体" w:hAnsi="宋体" w:eastAsia="宋体" w:cs="宋体"/>
          <w:b/>
          <w:color w:val="auto"/>
          <w:sz w:val="22"/>
          <w:szCs w:val="22"/>
        </w:rPr>
        <w:t>一、技术参数</w:t>
      </w:r>
    </w:p>
    <w:p w14:paraId="190272D7">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吊塔主体材料为6005高强度铝合金</w:t>
      </w:r>
      <w:r>
        <w:rPr>
          <w:rFonts w:hint="eastAsia" w:ascii="宋体" w:hAnsi="宋体" w:eastAsia="宋体" w:cs="宋体"/>
          <w:color w:val="auto"/>
          <w:sz w:val="22"/>
          <w:szCs w:val="22"/>
          <w:lang w:eastAsia="zh-CN"/>
        </w:rPr>
        <w:t>。</w:t>
      </w:r>
    </w:p>
    <w:p w14:paraId="320183E2">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表面环保粉末喷塑，粉末通过抑菌检测。</w:t>
      </w:r>
    </w:p>
    <w:p w14:paraId="6A5DDE0C">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吊塔外壳涂膜附着力需达到附着力标准0级要求，防止发生感控风险</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（提供第三方检测文件证明）</w:t>
      </w:r>
    </w:p>
    <w:p w14:paraId="33D155D4">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吊塔外壳在中性盐雾试验可达到外观评级10级要求</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（提供第三方检测文件证明）</w:t>
      </w:r>
    </w:p>
    <w:p w14:paraId="55AD218F">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★吊塔最大宣称承重≥650Kg，同时安全承重应为宣称承重的4倍。（提供第三方检测文件证明）</w:t>
      </w:r>
    </w:p>
    <w:p w14:paraId="2D092F58">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悬臂、终端箱转动范围≥340°，且具有良好的限位系统</w:t>
      </w:r>
      <w:r>
        <w:rPr>
          <w:rFonts w:hint="eastAsia" w:ascii="宋体" w:hAnsi="宋体" w:eastAsia="宋体" w:cs="宋体"/>
          <w:color w:val="auto"/>
          <w:sz w:val="22"/>
          <w:szCs w:val="22"/>
          <w:lang w:eastAsia="zh-CN"/>
        </w:rPr>
        <w:t>。</w:t>
      </w:r>
    </w:p>
    <w:p w14:paraId="58D28F5C">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所有吊塔上承载的设备的电源线路及气源管路和塔体之间没有相对移动，所有电源线路及气源管路必须在塔体内不能外露，保证吊塔在移动过程中，不会因位置的改变导致线路脱落的意外发生。</w:t>
      </w:r>
    </w:p>
    <w:p w14:paraId="0A175AB6">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所有吊塔均须配有良好的机械系统，保证吊塔不产生漂移。</w:t>
      </w:r>
    </w:p>
    <w:p w14:paraId="29916B48">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托盘必须为铝合金材质，一体成型，纯平设计，表面无螺钉</w:t>
      </w:r>
      <w:r>
        <w:rPr>
          <w:rFonts w:hint="eastAsia" w:ascii="宋体" w:hAnsi="宋体" w:eastAsia="宋体" w:cs="宋体"/>
          <w:color w:val="auto"/>
          <w:sz w:val="22"/>
          <w:szCs w:val="22"/>
          <w:lang w:eastAsia="zh-CN"/>
        </w:rPr>
        <w:t>。</w:t>
      </w:r>
    </w:p>
    <w:p w14:paraId="34833B71">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抽屉，采用抽拉式，且自带吸合功能</w:t>
      </w:r>
      <w:r>
        <w:rPr>
          <w:rFonts w:hint="eastAsia" w:ascii="宋体" w:hAnsi="宋体" w:eastAsia="宋体" w:cs="宋体"/>
          <w:color w:val="auto"/>
          <w:sz w:val="22"/>
          <w:szCs w:val="22"/>
          <w:lang w:eastAsia="zh-CN"/>
        </w:rPr>
        <w:t>。</w:t>
      </w:r>
    </w:p>
    <w:p w14:paraId="23C69B7D">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吊塔承载部件经承受2倍额定安全载荷后，应无永久性的损坏，且相对负载表面的偏移应≤10º。（提供第三方检测文件证明）</w:t>
      </w:r>
    </w:p>
    <w:p w14:paraId="78560466">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★基础架平缓施加荷载至10000N·m的试验扭矩，持续10分钟，法兰盘水平偏角≤0.4°</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（提供第三方检测文件证明）</w:t>
      </w:r>
    </w:p>
    <w:p w14:paraId="0124BD92">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13.</w:t>
      </w:r>
      <w:r>
        <w:rPr>
          <w:rFonts w:hint="eastAsia" w:ascii="宋体" w:hAnsi="宋体" w:eastAsia="宋体" w:cs="宋体"/>
          <w:color w:val="auto"/>
          <w:sz w:val="22"/>
          <w:szCs w:val="22"/>
        </w:rPr>
        <w:t>▲吊塔平面推力滚针轴承在300KG负载下可连续运行≥11万次。（提供第三方检测文件证明）</w:t>
      </w:r>
    </w:p>
    <w:p w14:paraId="67D224CF">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14.</w:t>
      </w:r>
      <w:r>
        <w:rPr>
          <w:rFonts w:hint="eastAsia" w:ascii="宋体" w:hAnsi="宋体" w:eastAsia="宋体" w:cs="宋体"/>
          <w:color w:val="auto"/>
          <w:sz w:val="22"/>
          <w:szCs w:val="22"/>
        </w:rPr>
        <w:t>吊塔的医用气体管道系统（刹车除外）应能承受1.2MPa的气压试验，不得出现明显漏气或破裂现象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（提供第三方检测文件证明）</w:t>
      </w:r>
    </w:p>
    <w:p w14:paraId="7C78D359">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15.</w:t>
      </w:r>
      <w:r>
        <w:rPr>
          <w:rFonts w:hint="eastAsia" w:ascii="宋体" w:hAnsi="宋体" w:eastAsia="宋体" w:cs="宋体"/>
          <w:color w:val="auto"/>
          <w:sz w:val="22"/>
          <w:szCs w:val="22"/>
        </w:rPr>
        <w:t>吊塔所有气体插座和接头为德标制式。各种气体插座均为不同颜色和不同形状，防止误操作，具有Standby(原位待接通状态)功能，可带气维修。</w:t>
      </w:r>
    </w:p>
    <w:p w14:paraId="115D0F13">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16.</w:t>
      </w:r>
      <w:r>
        <w:rPr>
          <w:rFonts w:hint="eastAsia" w:ascii="宋体" w:hAnsi="宋体" w:eastAsia="宋体" w:cs="宋体"/>
          <w:color w:val="auto"/>
          <w:sz w:val="22"/>
          <w:szCs w:val="22"/>
        </w:rPr>
        <w:t>气体终端可提供≥5万次插拔测试证明</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（提供第三方检测文件证明）</w:t>
      </w:r>
    </w:p>
    <w:p w14:paraId="01A6913E">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17.</w:t>
      </w:r>
      <w:r>
        <w:rPr>
          <w:rFonts w:hint="eastAsia" w:ascii="宋体" w:hAnsi="宋体" w:eastAsia="宋体" w:cs="宋体"/>
          <w:color w:val="auto"/>
          <w:sz w:val="22"/>
          <w:szCs w:val="22"/>
        </w:rPr>
        <w:t>吊塔的负压吸引系统应能承受500kPa的气压试验，不得出现明显漏气或破裂现象。（提供第三方检测文件证明）</w:t>
      </w:r>
    </w:p>
    <w:p w14:paraId="0CC09D48">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18.</w:t>
      </w:r>
      <w:r>
        <w:rPr>
          <w:rFonts w:hint="eastAsia" w:ascii="宋体" w:hAnsi="宋体" w:eastAsia="宋体" w:cs="宋体"/>
          <w:color w:val="auto"/>
          <w:sz w:val="22"/>
          <w:szCs w:val="22"/>
        </w:rPr>
        <w:t>依据ISO 11197 201.11.2.2.101要求，底板具有开孔，在模拟氧气泄露流量为1L/min时，腔体内部的氧气浓度不超过25%。（提供第三方检测文件证明）</w:t>
      </w:r>
    </w:p>
    <w:p w14:paraId="68458612">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19.</w:t>
      </w:r>
      <w:r>
        <w:rPr>
          <w:rFonts w:hint="eastAsia" w:ascii="宋体" w:hAnsi="宋体" w:eastAsia="宋体" w:cs="宋体"/>
          <w:color w:val="auto"/>
          <w:sz w:val="22"/>
          <w:szCs w:val="22"/>
        </w:rPr>
        <w:t>吊塔的外壳防护等级应符合GB/T 4208-2017中IP20的规定。（提供第三方检测文件证明）</w:t>
      </w:r>
    </w:p>
    <w:p w14:paraId="40BBF059">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20.</w:t>
      </w:r>
      <w:r>
        <w:rPr>
          <w:rFonts w:hint="eastAsia" w:ascii="宋体" w:hAnsi="宋体" w:eastAsia="宋体" w:cs="宋体"/>
          <w:color w:val="auto"/>
          <w:sz w:val="22"/>
          <w:szCs w:val="22"/>
        </w:rPr>
        <w:t>吊塔的外壳防火等级至少为UL94-V1级。（提供第三方检测文件证明）</w:t>
      </w:r>
    </w:p>
    <w:p w14:paraId="726FDA73">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21.</w:t>
      </w:r>
      <w:r>
        <w:rPr>
          <w:rFonts w:hint="eastAsia" w:ascii="宋体" w:hAnsi="宋体" w:eastAsia="宋体" w:cs="宋体"/>
          <w:color w:val="auto"/>
          <w:sz w:val="22"/>
          <w:szCs w:val="22"/>
        </w:rPr>
        <w:t>★吊塔在正常工作过程中噪声应≤35dB（A）。（提供第三方检测文件证明）</w:t>
      </w:r>
    </w:p>
    <w:p w14:paraId="6071CFD4">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22.</w:t>
      </w:r>
      <w:r>
        <w:rPr>
          <w:rFonts w:hint="eastAsia" w:ascii="宋体" w:hAnsi="宋体" w:eastAsia="宋体" w:cs="宋体"/>
          <w:color w:val="auto"/>
          <w:sz w:val="22"/>
          <w:szCs w:val="22"/>
        </w:rPr>
        <w:t>配置要求：</w:t>
      </w:r>
    </w:p>
    <w:p w14:paraId="15E5C918">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22.1★气电箱为吊柱式，可电动升降</w:t>
      </w:r>
      <w:r>
        <w:rPr>
          <w:rFonts w:hint="eastAsia" w:ascii="宋体" w:hAnsi="宋体" w:eastAsia="宋体" w:cs="宋体"/>
          <w:color w:val="auto"/>
          <w:sz w:val="22"/>
          <w:szCs w:val="22"/>
          <w:lang w:eastAsia="zh-CN"/>
        </w:rPr>
        <w:t>。</w:t>
      </w:r>
    </w:p>
    <w:p w14:paraId="6B7DD605">
      <w:pPr>
        <w:numPr>
          <w:ilvl w:val="0"/>
          <w:numId w:val="0"/>
        </w:numPr>
        <w:spacing w:line="360" w:lineRule="auto"/>
        <w:ind w:leftChars="0"/>
        <w:jc w:val="both"/>
        <w:rPr>
          <w:rFonts w:hint="eastAsia" w:ascii="宋体" w:hAnsi="宋体" w:eastAsia="宋体" w:cs="宋体"/>
          <w:color w:val="auto"/>
          <w:sz w:val="22"/>
          <w:szCs w:val="22"/>
        </w:rPr>
      </w:pPr>
      <w:r>
        <w:rPr>
          <w:rFonts w:hint="eastAsia" w:ascii="宋体" w:hAnsi="宋体" w:eastAsia="宋体" w:cs="宋体"/>
          <w:color w:val="auto"/>
          <w:sz w:val="22"/>
          <w:szCs w:val="22"/>
        </w:rPr>
        <w:t>22.2德式标准气体终端：氧气2个，负压吸引2个，空气2个，麻醉废气1个，笑气1个，二氧化碳1个，并包含对应气体的插头。</w:t>
      </w:r>
    </w:p>
    <w:p w14:paraId="13E94019">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22.3国标电源插座12个，6类网络接口4个，等电位柱2个，高清视频接口1个</w:t>
      </w:r>
      <w:r>
        <w:rPr>
          <w:rFonts w:hint="eastAsia" w:ascii="宋体" w:hAnsi="宋体" w:eastAsia="宋体" w:cs="宋体"/>
          <w:color w:val="auto"/>
          <w:sz w:val="22"/>
          <w:szCs w:val="22"/>
          <w:lang w:eastAsia="zh-CN"/>
        </w:rPr>
        <w:t>。</w:t>
      </w:r>
    </w:p>
    <w:p w14:paraId="34EC81DD">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22.4仪器承载托盘1个</w:t>
      </w:r>
      <w:r>
        <w:rPr>
          <w:rFonts w:hint="eastAsia" w:ascii="宋体" w:hAnsi="宋体" w:eastAsia="宋体" w:cs="宋体"/>
          <w:color w:val="auto"/>
          <w:sz w:val="22"/>
          <w:szCs w:val="22"/>
          <w:lang w:eastAsia="zh-CN"/>
        </w:rPr>
        <w:t>。</w:t>
      </w:r>
    </w:p>
    <w:p w14:paraId="784AA079">
      <w:pPr>
        <w:numPr>
          <w:ilvl w:val="0"/>
          <w:numId w:val="0"/>
        </w:numPr>
        <w:spacing w:line="360" w:lineRule="auto"/>
        <w:ind w:leftChars="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22.5输液杆2个</w:t>
      </w:r>
      <w:r>
        <w:rPr>
          <w:rFonts w:hint="eastAsia" w:ascii="宋体" w:hAnsi="宋体" w:eastAsia="宋体" w:cs="宋体"/>
          <w:color w:val="auto"/>
          <w:sz w:val="22"/>
          <w:szCs w:val="22"/>
          <w:lang w:eastAsia="zh-CN"/>
        </w:rPr>
        <w:t>。</w:t>
      </w:r>
    </w:p>
    <w:p w14:paraId="17FEBA85">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jc w:val="both"/>
        <w:textAlignment w:val="baseline"/>
        <w:outlineLvl w:val="9"/>
        <w:rPr>
          <w:rFonts w:hint="eastAsia" w:ascii="宋体" w:hAnsi="宋体" w:eastAsia="宋体" w:cs="宋体"/>
          <w:b/>
          <w:bCs/>
          <w:color w:val="auto"/>
          <w:kern w:val="44"/>
          <w:sz w:val="28"/>
          <w:szCs w:val="28"/>
          <w:highlight w:val="none"/>
          <w:lang w:val="en-US" w:eastAsia="zh-CN"/>
        </w:rPr>
      </w:pPr>
      <w:r>
        <w:rPr>
          <w:rFonts w:hint="eastAsia" w:ascii="宋体" w:hAnsi="宋体" w:eastAsia="宋体" w:cs="宋体"/>
          <w:b/>
          <w:bCs/>
          <w:color w:val="auto"/>
          <w:kern w:val="44"/>
          <w:sz w:val="28"/>
          <w:szCs w:val="28"/>
          <w:highlight w:val="none"/>
          <w:lang w:val="en-US" w:eastAsia="zh-CN"/>
        </w:rPr>
        <w:t>三、售后服务条款</w:t>
      </w:r>
    </w:p>
    <w:p w14:paraId="110EEE3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1.免费保修期为全保，包含但不限于人工费、零配件更换、软件升级等各项费用，并提供易损件报价和出保后保修价格；</w:t>
      </w:r>
    </w:p>
    <w:p w14:paraId="38204716">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2.服务人员资质：投标人配置的服务工程师必须为培训合格，取得设备生产厂家相关服务资格授权的人员，并提供相关资质资料；</w:t>
      </w:r>
    </w:p>
    <w:p w14:paraId="1BF6A89E">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3.零备件供应：所有更换的零配件均为原厂认证合格的、未经使用的零配件，且备品备件库须保证设备10年以上使用；</w:t>
      </w:r>
    </w:p>
    <w:p w14:paraId="3B7910C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4.响应时间要求：投标人接到维修电话后应在2小时内做应答处理，24小时内到现场服务排除故障；</w:t>
      </w:r>
    </w:p>
    <w:p w14:paraId="5AB3F3B7">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5.保修期内服务时间：维修、维护工作时间包含周末和其他非标准工作时间，即365天×24小时服务；</w:t>
      </w:r>
    </w:p>
    <w:p w14:paraId="0A839FA9">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6.维保清单：投标人须提供专业全面的设备维护保养清单，并由设备生产厂家盖章确认；</w:t>
      </w:r>
    </w:p>
    <w:p w14:paraId="06A9EA67">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7.保养：投标人保修期内每年至少提供2次设备维护保养，并提供保养服务报告；</w:t>
      </w:r>
    </w:p>
    <w:p w14:paraId="5628FED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8.报告：投标人保修期内每年至少提供1次故障原因分析报告、质控报告、年度设备运行状态报告；特殊故障时必须提交故障分析报告；</w:t>
      </w:r>
    </w:p>
    <w:p w14:paraId="129FB32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9.设备校准：需校准的实验室设备，投标人提供每年一次设备校准，免费提供设备校准所需的试剂及耗材，并提供校准报告。如设备维修后需校准，也免费提供以上服务；</w:t>
      </w:r>
    </w:p>
    <w:p w14:paraId="62C4BA0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10.培训：投标人免费提供设备使用中必要的培训及指导，直至使用级维护人员能够正确了解使用本设备；</w:t>
      </w:r>
    </w:p>
    <w:p w14:paraId="69F85290">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11.资料提供：投标人须向甲方提供设备使用维护手册、维修手册、软件备份、故障代码表、维修密码等维护维修必需的材料和信息；</w:t>
      </w:r>
    </w:p>
    <w:p w14:paraId="0EE1163B">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12.系统升级：投标人提供原厂系统免费软件升级；</w:t>
      </w:r>
    </w:p>
    <w:p w14:paraId="05BB3A9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13.开机率：设备保修期内，投标人须保证设备开机率达到95%以上（如未达到，按该设备上个月的收入总额计算每日平均值按日赔偿甲方损失，或相应延长保修期，如延长保修期，质保金的给付日期也相应延长）；</w:t>
      </w:r>
    </w:p>
    <w:p w14:paraId="5BA1E3D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14.售后服务承诺：投标人须对以上所有服务条款进行承诺，并提供售后服务承诺函（售后服务员承诺函需投标人和设备生产厂家双方法人代表授权人签字并加盖单位公章）；</w:t>
      </w:r>
    </w:p>
    <w:p w14:paraId="28BAA05F">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p w14:paraId="20EB734B">
      <w:pPr>
        <w:rPr>
          <w:rFonts w:hint="eastAsia"/>
          <w:color w:val="auto"/>
          <w:sz w:val="32"/>
          <w:szCs w:val="22"/>
        </w:rPr>
      </w:pPr>
      <w:bookmarkStart w:id="42" w:name="_Toc6096"/>
      <w:r>
        <w:rPr>
          <w:rFonts w:hint="eastAsia"/>
          <w:color w:val="auto"/>
          <w:sz w:val="32"/>
          <w:szCs w:val="22"/>
        </w:rPr>
        <w:br w:type="page"/>
      </w:r>
    </w:p>
    <w:p w14:paraId="30FD303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r>
        <w:rPr>
          <w:rFonts w:hint="eastAsia"/>
          <w:color w:val="auto"/>
          <w:sz w:val="32"/>
          <w:szCs w:val="22"/>
        </w:rPr>
        <w:t>第六章 投标文件构成及格式</w:t>
      </w:r>
      <w:bookmarkEnd w:id="42"/>
    </w:p>
    <w:p w14:paraId="03D62DF4">
      <w:pPr>
        <w:pStyle w:val="5"/>
        <w:spacing w:line="318" w:lineRule="auto"/>
        <w:outlineLvl w:val="9"/>
        <w:rPr>
          <w:rFonts w:hint="eastAsia" w:ascii="宋体" w:hAnsi="宋体" w:eastAsia="宋体" w:cs="宋体"/>
          <w:color w:val="auto"/>
        </w:rPr>
      </w:pPr>
    </w:p>
    <w:p w14:paraId="493EE4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77D688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 ”所列举和要求的全部投标文件，并且所提交的投标</w:t>
      </w:r>
    </w:p>
    <w:p w14:paraId="2FAD9B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2493D2AD">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4AB278E">
      <w:pPr>
        <w:pStyle w:val="11"/>
        <w:rPr>
          <w:rFonts w:hint="eastAsia" w:ascii="宋体" w:hAnsi="宋体" w:eastAsia="宋体" w:cs="宋体"/>
          <w:color w:val="auto"/>
          <w:kern w:val="44"/>
          <w:sz w:val="36"/>
          <w:highlight w:val="none"/>
          <w:lang w:val="zh-CN"/>
        </w:rPr>
      </w:pPr>
    </w:p>
    <w:p w14:paraId="48EA1A94">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sz w:val="28"/>
          <w:szCs w:val="28"/>
          <w:highlight w:val="none"/>
          <w:u w:val="single"/>
        </w:rPr>
      </w:pPr>
    </w:p>
    <w:p w14:paraId="4B5670F4">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kern w:val="44"/>
          <w:sz w:val="36"/>
          <w:highlight w:val="none"/>
          <w:lang w:val="zh-CN"/>
        </w:rPr>
      </w:pPr>
      <w:r>
        <w:rPr>
          <w:rFonts w:hint="eastAsia" w:ascii="宋体" w:hAnsi="宋体" w:eastAsia="宋体" w:cs="宋体"/>
          <w:color w:val="auto"/>
          <w:sz w:val="28"/>
          <w:szCs w:val="28"/>
          <w:highlight w:val="none"/>
          <w:u w:val="single"/>
        </w:rPr>
        <w:t xml:space="preserve">                                </w:t>
      </w:r>
      <w:bookmarkStart w:id="43" w:name="_Toc6030"/>
      <w:r>
        <w:rPr>
          <w:rFonts w:hint="eastAsia" w:ascii="宋体" w:hAnsi="宋体" w:eastAsia="宋体" w:cs="宋体"/>
          <w:color w:val="auto"/>
          <w:sz w:val="28"/>
          <w:szCs w:val="28"/>
          <w:highlight w:val="none"/>
        </w:rPr>
        <w:t>（项目名称）</w:t>
      </w:r>
      <w:bookmarkEnd w:id="43"/>
    </w:p>
    <w:p w14:paraId="1D49B517">
      <w:pPr>
        <w:spacing w:line="360" w:lineRule="auto"/>
        <w:jc w:val="center"/>
        <w:rPr>
          <w:rFonts w:hint="eastAsia" w:ascii="宋体" w:hAnsi="宋体" w:eastAsia="宋体" w:cs="宋体"/>
          <w:color w:val="auto"/>
          <w:sz w:val="28"/>
          <w:szCs w:val="28"/>
          <w:highlight w:val="none"/>
        </w:rPr>
      </w:pPr>
    </w:p>
    <w:p w14:paraId="3F00259E">
      <w:pPr>
        <w:spacing w:line="360" w:lineRule="auto"/>
        <w:jc w:val="center"/>
        <w:rPr>
          <w:rFonts w:hint="eastAsia" w:ascii="宋体" w:hAnsi="宋体" w:eastAsia="宋体" w:cs="宋体"/>
          <w:color w:val="auto"/>
          <w:sz w:val="28"/>
          <w:szCs w:val="28"/>
          <w:highlight w:val="none"/>
        </w:rPr>
      </w:pPr>
    </w:p>
    <w:p w14:paraId="763066D9">
      <w:pPr>
        <w:spacing w:line="360" w:lineRule="auto"/>
        <w:jc w:val="center"/>
        <w:rPr>
          <w:rFonts w:hint="eastAsia" w:ascii="宋体" w:hAnsi="宋体" w:eastAsia="宋体" w:cs="宋体"/>
          <w:color w:val="auto"/>
          <w:sz w:val="28"/>
          <w:szCs w:val="28"/>
          <w:highlight w:val="none"/>
        </w:rPr>
      </w:pPr>
    </w:p>
    <w:p w14:paraId="776D92C9">
      <w:pPr>
        <w:spacing w:line="360" w:lineRule="auto"/>
        <w:jc w:val="center"/>
        <w:rPr>
          <w:rFonts w:hint="eastAsia" w:ascii="宋体" w:hAnsi="宋体" w:eastAsia="宋体" w:cs="宋体"/>
          <w:color w:val="auto"/>
          <w:sz w:val="28"/>
          <w:szCs w:val="28"/>
          <w:highlight w:val="none"/>
        </w:rPr>
      </w:pPr>
    </w:p>
    <w:p w14:paraId="35AC0AD1">
      <w:pPr>
        <w:spacing w:line="360" w:lineRule="auto"/>
        <w:jc w:val="center"/>
        <w:rPr>
          <w:rFonts w:hint="eastAsia" w:ascii="宋体" w:hAnsi="宋体" w:eastAsia="宋体" w:cs="宋体"/>
          <w:color w:val="auto"/>
          <w:sz w:val="28"/>
          <w:szCs w:val="28"/>
          <w:highlight w:val="none"/>
        </w:rPr>
      </w:pPr>
    </w:p>
    <w:p w14:paraId="2CD513F1">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件</w:t>
      </w:r>
    </w:p>
    <w:p w14:paraId="4248D42C">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39183A98">
      <w:pPr>
        <w:spacing w:line="480" w:lineRule="auto"/>
        <w:ind w:firstLine="3360" w:firstLineChars="1200"/>
        <w:rPr>
          <w:rFonts w:hint="eastAsia" w:ascii="宋体" w:hAnsi="宋体" w:eastAsia="宋体" w:cs="宋体"/>
          <w:color w:val="auto"/>
          <w:sz w:val="28"/>
          <w:szCs w:val="28"/>
          <w:highlight w:val="none"/>
          <w:u w:val="single"/>
        </w:rPr>
      </w:pPr>
    </w:p>
    <w:p w14:paraId="5BA6476C">
      <w:pPr>
        <w:spacing w:line="360" w:lineRule="auto"/>
        <w:jc w:val="center"/>
        <w:rPr>
          <w:rFonts w:hint="eastAsia" w:ascii="宋体" w:hAnsi="宋体" w:eastAsia="宋体" w:cs="宋体"/>
          <w:color w:val="auto"/>
          <w:sz w:val="28"/>
          <w:szCs w:val="28"/>
          <w:highlight w:val="none"/>
        </w:rPr>
      </w:pPr>
    </w:p>
    <w:p w14:paraId="57C6DD1D">
      <w:pPr>
        <w:spacing w:line="360" w:lineRule="auto"/>
        <w:ind w:firstLine="1260" w:firstLineChars="450"/>
        <w:rPr>
          <w:rFonts w:hint="eastAsia" w:ascii="宋体" w:hAnsi="宋体" w:eastAsia="宋体" w:cs="宋体"/>
          <w:color w:val="auto"/>
          <w:sz w:val="28"/>
          <w:szCs w:val="28"/>
          <w:highlight w:val="none"/>
        </w:rPr>
      </w:pPr>
    </w:p>
    <w:p w14:paraId="7C96F196">
      <w:pPr>
        <w:spacing w:line="360" w:lineRule="auto"/>
        <w:ind w:firstLine="1260" w:firstLineChars="450"/>
        <w:rPr>
          <w:rFonts w:hint="eastAsia" w:ascii="宋体" w:hAnsi="宋体" w:eastAsia="宋体" w:cs="宋体"/>
          <w:color w:val="auto"/>
          <w:sz w:val="28"/>
          <w:szCs w:val="28"/>
          <w:highlight w:val="none"/>
        </w:rPr>
      </w:pPr>
    </w:p>
    <w:p w14:paraId="3010AD4D">
      <w:pPr>
        <w:spacing w:line="360" w:lineRule="auto"/>
        <w:ind w:firstLine="1260" w:firstLineChars="450"/>
        <w:rPr>
          <w:rFonts w:hint="eastAsia" w:ascii="宋体" w:hAnsi="宋体" w:eastAsia="宋体" w:cs="宋体"/>
          <w:color w:val="auto"/>
          <w:sz w:val="28"/>
          <w:szCs w:val="28"/>
          <w:highlight w:val="none"/>
        </w:rPr>
      </w:pPr>
    </w:p>
    <w:p w14:paraId="1AFD1F57">
      <w:pPr>
        <w:spacing w:line="360" w:lineRule="auto"/>
        <w:ind w:firstLine="1260" w:firstLineChars="450"/>
        <w:rPr>
          <w:rFonts w:hint="eastAsia" w:ascii="宋体" w:hAnsi="宋体" w:eastAsia="宋体" w:cs="宋体"/>
          <w:color w:val="auto"/>
          <w:sz w:val="28"/>
          <w:szCs w:val="28"/>
          <w:highlight w:val="none"/>
        </w:rPr>
      </w:pPr>
    </w:p>
    <w:p w14:paraId="46146866">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A2B10B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并盖章</w:t>
      </w:r>
      <w:r>
        <w:rPr>
          <w:rFonts w:hint="eastAsia" w:ascii="宋体" w:hAnsi="宋体" w:eastAsia="宋体" w:cs="宋体"/>
          <w:color w:val="auto"/>
          <w:sz w:val="24"/>
          <w:szCs w:val="24"/>
          <w:highlight w:val="none"/>
        </w:rPr>
        <w:t>）</w:t>
      </w:r>
    </w:p>
    <w:p w14:paraId="5E8BF9C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09DE366">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987913B">
      <w:pPr>
        <w:jc w:val="cente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lang w:val="en-US" w:eastAsia="zh-CN"/>
          <w14:textOutline w14:w="4358" w14:cap="sq" w14:cmpd="sng">
            <w14:solidFill>
              <w14:srgbClr w14:val="000000"/>
            </w14:solidFill>
            <w14:prstDash w14:val="solid"/>
            <w14:bevel/>
          </w14:textOutline>
        </w:rPr>
        <w:t>目录（格式自拟）</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39DD7BA">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格式一：</w:t>
      </w:r>
    </w:p>
    <w:p w14:paraId="4441761C">
      <w:pPr>
        <w:spacing w:before="182" w:line="220" w:lineRule="auto"/>
        <w:ind w:left="368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开标一览表（格式）</w:t>
      </w:r>
    </w:p>
    <w:p w14:paraId="3A65086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3563B52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7F78875D">
      <w:pPr>
        <w:keepNext w:val="0"/>
        <w:keepLines w:val="0"/>
        <w:pageBreakBefore w:val="0"/>
        <w:widowControl/>
        <w:kinsoku w:val="0"/>
        <w:wordWrap/>
        <w:overflowPunct/>
        <w:topLinePunct w:val="0"/>
        <w:autoSpaceDE w:val="0"/>
        <w:autoSpaceDN w:val="0"/>
        <w:bidi w:val="0"/>
        <w:adjustRightInd w:val="0"/>
        <w:snapToGrid w:val="0"/>
        <w:spacing w:line="288" w:lineRule="auto"/>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货币单位:元</w:t>
      </w:r>
    </w:p>
    <w:tbl>
      <w:tblPr>
        <w:tblStyle w:val="1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5"/>
        <w:gridCol w:w="2273"/>
        <w:gridCol w:w="2136"/>
        <w:gridCol w:w="1962"/>
        <w:gridCol w:w="1070"/>
      </w:tblGrid>
      <w:tr w14:paraId="29DC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081" w:type="pct"/>
            <w:noWrap w:val="0"/>
            <w:vAlign w:val="center"/>
          </w:tcPr>
          <w:p w14:paraId="602DFFE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投标人名称</w:t>
            </w:r>
          </w:p>
        </w:tc>
        <w:tc>
          <w:tcPr>
            <w:tcW w:w="1196" w:type="pct"/>
            <w:noWrap w:val="0"/>
            <w:vAlign w:val="center"/>
          </w:tcPr>
          <w:p w14:paraId="512AD2C2">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eastAsia="zh-CN"/>
              </w:rPr>
              <w:t>投标报价</w:t>
            </w:r>
            <w:r>
              <w:rPr>
                <w:rFonts w:hint="eastAsia" w:ascii="宋体" w:hAnsi="宋体" w:eastAsia="宋体" w:cs="宋体"/>
                <w:b/>
                <w:bCs/>
                <w:snapToGrid w:val="0"/>
                <w:color w:val="auto"/>
                <w:kern w:val="0"/>
                <w:sz w:val="24"/>
                <w:szCs w:val="24"/>
                <w:lang w:val="en-US" w:eastAsia="zh-CN"/>
              </w:rPr>
              <w:t>/总价</w:t>
            </w:r>
          </w:p>
          <w:p w14:paraId="39EE235E">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（元）</w:t>
            </w:r>
          </w:p>
        </w:tc>
        <w:tc>
          <w:tcPr>
            <w:tcW w:w="1124" w:type="pct"/>
            <w:noWrap w:val="0"/>
            <w:vAlign w:val="center"/>
          </w:tcPr>
          <w:p w14:paraId="37C04AA8">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合同履行期限</w:t>
            </w:r>
          </w:p>
        </w:tc>
        <w:tc>
          <w:tcPr>
            <w:tcW w:w="1032" w:type="pct"/>
            <w:noWrap w:val="0"/>
            <w:vAlign w:val="center"/>
          </w:tcPr>
          <w:p w14:paraId="5C2CCA41">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质量目标</w:t>
            </w:r>
          </w:p>
        </w:tc>
        <w:tc>
          <w:tcPr>
            <w:tcW w:w="563" w:type="pct"/>
            <w:noWrap w:val="0"/>
            <w:vAlign w:val="center"/>
          </w:tcPr>
          <w:p w14:paraId="3BB21808">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备注</w:t>
            </w:r>
          </w:p>
        </w:tc>
      </w:tr>
      <w:tr w14:paraId="04197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4" w:hRule="atLeast"/>
          <w:jc w:val="center"/>
        </w:trPr>
        <w:tc>
          <w:tcPr>
            <w:tcW w:w="1081" w:type="pct"/>
            <w:noWrap w:val="0"/>
            <w:vAlign w:val="center"/>
          </w:tcPr>
          <w:p w14:paraId="6C9CFC19">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96" w:type="pct"/>
            <w:noWrap w:val="0"/>
            <w:vAlign w:val="center"/>
          </w:tcPr>
          <w:p w14:paraId="26A300F2">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24" w:type="pct"/>
            <w:noWrap w:val="0"/>
            <w:vAlign w:val="center"/>
          </w:tcPr>
          <w:p w14:paraId="1D1D559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032" w:type="pct"/>
            <w:noWrap w:val="0"/>
            <w:vAlign w:val="center"/>
          </w:tcPr>
          <w:p w14:paraId="54FD689E">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563" w:type="pct"/>
            <w:noWrap w:val="0"/>
            <w:vAlign w:val="center"/>
          </w:tcPr>
          <w:p w14:paraId="3C27AB5F">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r>
    </w:tbl>
    <w:p w14:paraId="7ACE8995">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说明：</w:t>
      </w:r>
    </w:p>
    <w:p w14:paraId="60A4AC3F">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1.本“开标一览表”用于开标时唱标使用。</w:t>
      </w:r>
    </w:p>
    <w:p w14:paraId="78BB07A4">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2.此表中的各项内容应与投标文件的相应内容一致。</w:t>
      </w:r>
    </w:p>
    <w:p w14:paraId="198AE0B0">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3.只允许有一个报价，任何有选择性的报价或者有附加条件的报价采购人将不予接受。</w:t>
      </w:r>
    </w:p>
    <w:p w14:paraId="77E3731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p>
    <w:p w14:paraId="2FB3E0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77E25E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法定代表人（单位负责人）或授权代表（签字并盖章）：</w:t>
      </w:r>
    </w:p>
    <w:p w14:paraId="6E6A1F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22E4834B">
      <w:pPr>
        <w:keepNext w:val="0"/>
        <w:keepLines w:val="0"/>
        <w:pageBreakBefore w:val="0"/>
        <w:widowControl/>
        <w:kinsoku/>
        <w:wordWrap/>
        <w:overflowPunct/>
        <w:topLinePunct w:val="0"/>
        <w:autoSpaceDE/>
        <w:autoSpaceDN/>
        <w:bidi w:val="0"/>
        <w:adjustRightInd w:val="0"/>
        <w:snapToGrid w:val="0"/>
        <w:spacing w:after="0" w:afterLines="100"/>
        <w:jc w:val="center"/>
        <w:textAlignment w:val="baseline"/>
        <w:outlineLvl w:val="9"/>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1DA63C9">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格式二：</w:t>
      </w:r>
    </w:p>
    <w:p w14:paraId="19673397">
      <w:pPr>
        <w:spacing w:before="182" w:line="220" w:lineRule="auto"/>
        <w:ind w:left="3809"/>
        <w:outlineLvl w:val="9"/>
        <w:rPr>
          <w:rFonts w:hint="eastAsia" w:ascii="宋体" w:hAnsi="宋体" w:eastAsia="宋体" w:cs="宋体"/>
          <w:color w:val="auto"/>
          <w:sz w:val="24"/>
          <w:szCs w:val="24"/>
        </w:rPr>
      </w:pPr>
      <w:bookmarkStart w:id="44" w:name="_Toc15346"/>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投标函（格式）</w:t>
      </w:r>
      <w:bookmarkEnd w:id="44"/>
    </w:p>
    <w:p w14:paraId="6E81D3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致：吉林省吉诚工程咨询有限公司</w:t>
      </w:r>
    </w:p>
    <w:p w14:paraId="053AB3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（项目名称，项目编号/包号）组织的招标活动，并对此项目进行投标。</w:t>
      </w:r>
    </w:p>
    <w:p w14:paraId="1034B2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034A91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)按招标文件规定提供货物及服务的投标总价为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人民币</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4E2FD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72C20B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190B65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4F6D7B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11D61A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597082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366A79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 90 天内有效。</w:t>
      </w:r>
    </w:p>
    <w:p w14:paraId="6E2AA1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47E240B7">
      <w:pPr>
        <w:pStyle w:val="5"/>
        <w:spacing w:line="245" w:lineRule="auto"/>
        <w:outlineLvl w:val="9"/>
        <w:rPr>
          <w:rFonts w:hint="eastAsia" w:ascii="宋体" w:hAnsi="宋体" w:eastAsia="宋体" w:cs="宋体"/>
          <w:color w:val="auto"/>
        </w:rPr>
      </w:pPr>
    </w:p>
    <w:p w14:paraId="03F0C9DD">
      <w:pPr>
        <w:pStyle w:val="5"/>
        <w:spacing w:line="246" w:lineRule="auto"/>
        <w:outlineLvl w:val="9"/>
        <w:rPr>
          <w:rFonts w:hint="eastAsia" w:ascii="宋体" w:hAnsi="宋体" w:eastAsia="宋体" w:cs="宋体"/>
          <w:color w:val="auto"/>
        </w:rPr>
      </w:pPr>
    </w:p>
    <w:p w14:paraId="12F9370C">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3B26A92D">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6635A7FA">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0B84161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法定代表人（单位负责人）或授权代表（签字并盖章）：</w:t>
      </w:r>
    </w:p>
    <w:p w14:paraId="170F955E">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5040C2A7">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AB903A4">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格式三：</w:t>
      </w:r>
    </w:p>
    <w:p w14:paraId="4F5F20EC">
      <w:pPr>
        <w:spacing w:before="181" w:line="219" w:lineRule="auto"/>
        <w:ind w:left="355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投标报价明细表（格式）</w:t>
      </w:r>
    </w:p>
    <w:p w14:paraId="12B79CD1">
      <w:pPr>
        <w:pStyle w:val="5"/>
        <w:spacing w:line="282" w:lineRule="auto"/>
        <w:outlineLvl w:val="9"/>
        <w:rPr>
          <w:rFonts w:hint="eastAsia" w:ascii="宋体" w:hAnsi="宋体" w:eastAsia="宋体" w:cs="宋体"/>
          <w:color w:val="auto"/>
        </w:rPr>
      </w:pPr>
    </w:p>
    <w:p w14:paraId="2BC4B107">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u w:val="single"/>
        </w:rPr>
      </w:pPr>
      <w:r>
        <w:rPr>
          <w:rFonts w:hint="eastAsia" w:ascii="宋体" w:hAnsi="宋体" w:cs="宋体"/>
          <w:color w:val="auto"/>
          <w:sz w:val="24"/>
          <w:highlight w:val="none"/>
        </w:rPr>
        <w:t xml:space="preserve">项目名称： </w:t>
      </w:r>
      <w:r>
        <w:rPr>
          <w:rFonts w:hint="eastAsia" w:ascii="宋体" w:hAnsi="宋体" w:cs="宋体"/>
          <w:color w:val="auto"/>
          <w:sz w:val="24"/>
          <w:highlight w:val="none"/>
          <w:u w:val="single"/>
        </w:rPr>
        <w:t xml:space="preserve">                       </w:t>
      </w:r>
    </w:p>
    <w:p w14:paraId="6DE08414">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3D25CBC">
      <w:pPr>
        <w:pageBreakBefore w:val="0"/>
        <w:kinsoku/>
        <w:wordWrap/>
        <w:overflowPunct/>
        <w:topLinePunct w:val="0"/>
        <w:autoSpaceDE/>
        <w:autoSpaceDN/>
        <w:bidi w:val="0"/>
        <w:adjustRightInd w:val="0"/>
        <w:jc w:val="right"/>
        <w:textAlignment w:val="baseline"/>
        <w:outlineLvl w:val="9"/>
        <w:rPr>
          <w:rFonts w:hint="eastAsia" w:ascii="宋体" w:hAnsi="宋体" w:eastAsia="宋体"/>
          <w:color w:val="auto"/>
          <w:szCs w:val="30"/>
          <w:highlight w:val="none"/>
        </w:rPr>
      </w:pPr>
      <w:r>
        <w:rPr>
          <w:rFonts w:hint="eastAsia" w:ascii="宋体" w:hAnsi="宋体" w:cs="宋体"/>
          <w:color w:val="auto"/>
          <w:sz w:val="24"/>
          <w:highlight w:val="none"/>
        </w:rPr>
        <w:t>单位：元（人民币）</w:t>
      </w:r>
    </w:p>
    <w:tbl>
      <w:tblPr>
        <w:tblStyle w:val="12"/>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14:paraId="4993E9C7">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FF7156A">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940" w:type="dxa"/>
            <w:tcBorders>
              <w:top w:val="single" w:color="auto" w:sz="4" w:space="0"/>
              <w:left w:val="nil"/>
              <w:bottom w:val="single" w:color="auto" w:sz="4" w:space="0"/>
              <w:right w:val="single" w:color="auto" w:sz="4" w:space="0"/>
            </w:tcBorders>
            <w:noWrap w:val="0"/>
            <w:vAlign w:val="center"/>
          </w:tcPr>
          <w:p w14:paraId="1EA6D5E7">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内容</w:t>
            </w:r>
          </w:p>
        </w:tc>
        <w:tc>
          <w:tcPr>
            <w:tcW w:w="1287" w:type="dxa"/>
            <w:tcBorders>
              <w:top w:val="single" w:color="auto" w:sz="4" w:space="0"/>
              <w:left w:val="nil"/>
              <w:bottom w:val="single" w:color="auto" w:sz="4" w:space="0"/>
              <w:right w:val="single" w:color="auto" w:sz="4" w:space="0"/>
            </w:tcBorders>
            <w:noWrap w:val="0"/>
            <w:vAlign w:val="center"/>
          </w:tcPr>
          <w:p w14:paraId="1933088B">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规格型号</w:t>
            </w:r>
          </w:p>
        </w:tc>
        <w:tc>
          <w:tcPr>
            <w:tcW w:w="1328" w:type="dxa"/>
            <w:tcBorders>
              <w:top w:val="single" w:color="auto" w:sz="4" w:space="0"/>
              <w:left w:val="nil"/>
              <w:bottom w:val="single" w:color="auto" w:sz="4" w:space="0"/>
              <w:right w:val="single" w:color="auto" w:sz="4" w:space="0"/>
            </w:tcBorders>
            <w:noWrap w:val="0"/>
            <w:vAlign w:val="center"/>
          </w:tcPr>
          <w:p w14:paraId="73270A6E">
            <w:pPr>
              <w:widowControl/>
              <w:jc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eastAsia="zh-CN"/>
              </w:rPr>
              <w:t>品牌</w:t>
            </w:r>
          </w:p>
        </w:tc>
        <w:tc>
          <w:tcPr>
            <w:tcW w:w="715" w:type="dxa"/>
            <w:tcBorders>
              <w:top w:val="single" w:color="auto" w:sz="4" w:space="0"/>
              <w:left w:val="nil"/>
              <w:bottom w:val="single" w:color="auto" w:sz="4" w:space="0"/>
              <w:right w:val="single" w:color="auto" w:sz="4" w:space="0"/>
            </w:tcBorders>
            <w:noWrap w:val="0"/>
            <w:vAlign w:val="center"/>
          </w:tcPr>
          <w:p w14:paraId="1DD1D9E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单位</w:t>
            </w:r>
          </w:p>
        </w:tc>
        <w:tc>
          <w:tcPr>
            <w:tcW w:w="723" w:type="dxa"/>
            <w:tcBorders>
              <w:top w:val="single" w:color="auto" w:sz="4" w:space="0"/>
              <w:left w:val="nil"/>
              <w:bottom w:val="single" w:color="auto" w:sz="4" w:space="0"/>
              <w:right w:val="single" w:color="auto" w:sz="4" w:space="0"/>
            </w:tcBorders>
            <w:noWrap w:val="0"/>
            <w:vAlign w:val="center"/>
          </w:tcPr>
          <w:p w14:paraId="1D9ED71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数量</w:t>
            </w:r>
          </w:p>
        </w:tc>
        <w:tc>
          <w:tcPr>
            <w:tcW w:w="1423" w:type="dxa"/>
            <w:tcBorders>
              <w:top w:val="single" w:color="auto" w:sz="4" w:space="0"/>
              <w:left w:val="nil"/>
              <w:bottom w:val="single" w:color="auto" w:sz="4" w:space="0"/>
              <w:right w:val="single" w:color="auto" w:sz="4" w:space="0"/>
            </w:tcBorders>
            <w:noWrap w:val="0"/>
            <w:vAlign w:val="center"/>
          </w:tcPr>
          <w:p w14:paraId="60A82850">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单价（元）</w:t>
            </w:r>
          </w:p>
        </w:tc>
        <w:tc>
          <w:tcPr>
            <w:tcW w:w="1400" w:type="dxa"/>
            <w:tcBorders>
              <w:top w:val="single" w:color="auto" w:sz="4" w:space="0"/>
              <w:left w:val="nil"/>
              <w:bottom w:val="single" w:color="auto" w:sz="4" w:space="0"/>
              <w:right w:val="single" w:color="auto" w:sz="4" w:space="0"/>
            </w:tcBorders>
            <w:noWrap w:val="0"/>
            <w:vAlign w:val="center"/>
          </w:tcPr>
          <w:p w14:paraId="20906D7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合计（元）</w:t>
            </w:r>
          </w:p>
        </w:tc>
        <w:tc>
          <w:tcPr>
            <w:tcW w:w="613" w:type="dxa"/>
            <w:tcBorders>
              <w:top w:val="single" w:color="auto" w:sz="4" w:space="0"/>
              <w:left w:val="nil"/>
              <w:bottom w:val="single" w:color="auto" w:sz="4" w:space="0"/>
              <w:right w:val="single" w:color="auto" w:sz="4" w:space="0"/>
            </w:tcBorders>
            <w:noWrap w:val="0"/>
            <w:vAlign w:val="center"/>
          </w:tcPr>
          <w:p w14:paraId="5F468596">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备注</w:t>
            </w:r>
          </w:p>
        </w:tc>
      </w:tr>
      <w:tr w14:paraId="7B1729E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0A9144A">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3118D86F">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B2301F0">
            <w:pPr>
              <w:widowControl/>
              <w:jc w:val="center"/>
              <w:rPr>
                <w:rFonts w:ascii="宋体" w:hAnsi="宋体" w:eastAsia="宋体" w:cs="宋体"/>
                <w:b/>
                <w:bCs/>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49D87F3B">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35F11E65">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6ED75E9">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DBE2524">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860C23E">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2B9A131F">
            <w:pPr>
              <w:widowControl/>
              <w:jc w:val="center"/>
              <w:rPr>
                <w:rFonts w:ascii="宋体" w:hAnsi="宋体" w:eastAsia="宋体" w:cs="宋体"/>
                <w:color w:val="auto"/>
                <w:kern w:val="0"/>
                <w:sz w:val="20"/>
                <w:szCs w:val="20"/>
              </w:rPr>
            </w:pPr>
          </w:p>
        </w:tc>
      </w:tr>
      <w:tr w14:paraId="2B7B975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1AF4E74">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A9B8EC4">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A575624">
            <w:pPr>
              <w:widowControl/>
              <w:jc w:val="center"/>
              <w:rPr>
                <w:rFonts w:ascii="宋体" w:hAnsi="宋体" w:eastAsia="宋体" w:cs="宋体"/>
                <w:b/>
                <w:bCs/>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7CDC1ACC">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4F4360F">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1221B6D5">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1F16AB4">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28D22D3E">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47761B72">
            <w:pPr>
              <w:widowControl/>
              <w:jc w:val="center"/>
              <w:rPr>
                <w:rFonts w:ascii="宋体" w:hAnsi="宋体" w:eastAsia="宋体" w:cs="宋体"/>
                <w:color w:val="auto"/>
                <w:kern w:val="0"/>
                <w:sz w:val="20"/>
                <w:szCs w:val="20"/>
              </w:rPr>
            </w:pPr>
          </w:p>
        </w:tc>
      </w:tr>
      <w:tr w14:paraId="0199D83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14DDEDEA">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1A90403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FD52628">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6D3331E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6B52B0CA">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35D6940">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1CA8036">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3DD4D21">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644F6C69">
            <w:pPr>
              <w:widowControl/>
              <w:jc w:val="center"/>
              <w:rPr>
                <w:rFonts w:ascii="宋体" w:hAnsi="宋体" w:eastAsia="宋体" w:cs="宋体"/>
                <w:color w:val="auto"/>
                <w:kern w:val="0"/>
                <w:sz w:val="20"/>
                <w:szCs w:val="20"/>
              </w:rPr>
            </w:pPr>
          </w:p>
        </w:tc>
      </w:tr>
      <w:tr w14:paraId="59A36A99">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6FD2FF3">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A9F522C">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6AD447DD">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56531BA9">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F5DAEF3">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2A477D12">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5D4CCA7A">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6A08251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52DC9275">
            <w:pPr>
              <w:widowControl/>
              <w:jc w:val="center"/>
              <w:rPr>
                <w:rFonts w:ascii="宋体" w:hAnsi="宋体" w:eastAsia="宋体" w:cs="宋体"/>
                <w:color w:val="auto"/>
                <w:kern w:val="0"/>
                <w:sz w:val="20"/>
                <w:szCs w:val="20"/>
              </w:rPr>
            </w:pPr>
          </w:p>
        </w:tc>
      </w:tr>
      <w:tr w14:paraId="66B8706B">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FA00EE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4F47EAB">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507EC45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2C8B18A2">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7CF0D8B7">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769FEA34">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3C7C844B">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04D20819">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254E2FC">
            <w:pPr>
              <w:widowControl/>
              <w:jc w:val="center"/>
              <w:rPr>
                <w:rFonts w:ascii="宋体" w:hAnsi="宋体" w:eastAsia="宋体" w:cs="宋体"/>
                <w:color w:val="auto"/>
                <w:kern w:val="0"/>
                <w:sz w:val="20"/>
                <w:szCs w:val="20"/>
              </w:rPr>
            </w:pPr>
          </w:p>
        </w:tc>
      </w:tr>
      <w:tr w14:paraId="2EA788F2">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EBB4A09">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02951C26">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EC1C783">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59D78C0">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0709D515">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8100D7C">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3D32E996">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594F74D2">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090E064">
            <w:pPr>
              <w:widowControl/>
              <w:jc w:val="center"/>
              <w:rPr>
                <w:rFonts w:ascii="宋体" w:hAnsi="宋体" w:eastAsia="宋体" w:cs="宋体"/>
                <w:color w:val="auto"/>
                <w:kern w:val="0"/>
                <w:sz w:val="20"/>
                <w:szCs w:val="20"/>
              </w:rPr>
            </w:pPr>
          </w:p>
        </w:tc>
      </w:tr>
      <w:tr w14:paraId="7BCFE8F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3BCCA4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BA77E51">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F5413B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0D29A4F3">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A004D9F">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2039D089">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6AA0F9D8">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3180D0D2">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5ACC603">
            <w:pPr>
              <w:widowControl/>
              <w:jc w:val="center"/>
              <w:rPr>
                <w:rFonts w:ascii="宋体" w:hAnsi="宋体" w:eastAsia="宋体" w:cs="宋体"/>
                <w:color w:val="auto"/>
                <w:kern w:val="0"/>
                <w:sz w:val="20"/>
                <w:szCs w:val="20"/>
              </w:rPr>
            </w:pPr>
          </w:p>
        </w:tc>
      </w:tr>
      <w:tr w14:paraId="671CB2F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6512111F">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7D3A7AB4">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49481BF2">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142F94C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722E156B">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46B425A">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58E7331">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45E04D5">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75331C23">
            <w:pPr>
              <w:widowControl/>
              <w:jc w:val="center"/>
              <w:rPr>
                <w:rFonts w:ascii="宋体" w:hAnsi="宋体" w:eastAsia="宋体" w:cs="宋体"/>
                <w:color w:val="auto"/>
                <w:kern w:val="0"/>
                <w:sz w:val="20"/>
                <w:szCs w:val="20"/>
              </w:rPr>
            </w:pPr>
          </w:p>
        </w:tc>
      </w:tr>
      <w:tr w14:paraId="589F5A0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5E8CD4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5A09371F">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DB5638C">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88CC2F4">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BAFDC43">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9A75DA6">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B7D1F3D">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AA5FD4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13092D5A">
            <w:pPr>
              <w:widowControl/>
              <w:jc w:val="center"/>
              <w:rPr>
                <w:rFonts w:ascii="宋体" w:hAnsi="宋体" w:eastAsia="宋体" w:cs="宋体"/>
                <w:color w:val="auto"/>
                <w:kern w:val="0"/>
                <w:sz w:val="20"/>
                <w:szCs w:val="20"/>
              </w:rPr>
            </w:pPr>
          </w:p>
        </w:tc>
      </w:tr>
      <w:tr w14:paraId="493536F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4374DA51">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D4D7DD3">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A4A55D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133521E">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B6D1BB6">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3A72F027">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6B6A59D9">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6D79D199">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5609E879">
            <w:pPr>
              <w:widowControl/>
              <w:jc w:val="center"/>
              <w:rPr>
                <w:rFonts w:ascii="宋体" w:hAnsi="宋体" w:eastAsia="宋体" w:cs="宋体"/>
                <w:color w:val="auto"/>
                <w:kern w:val="0"/>
                <w:sz w:val="20"/>
                <w:szCs w:val="20"/>
              </w:rPr>
            </w:pPr>
          </w:p>
        </w:tc>
      </w:tr>
      <w:tr w14:paraId="5C95D428">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187F2B15">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100E8B5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45D76C5">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5498565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01FA6229">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5AFB62E2">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FF0E63F">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4E3CBC45">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86B2120">
            <w:pPr>
              <w:widowControl/>
              <w:jc w:val="center"/>
              <w:rPr>
                <w:rFonts w:ascii="宋体" w:hAnsi="宋体" w:eastAsia="宋体" w:cs="宋体"/>
                <w:color w:val="auto"/>
                <w:kern w:val="0"/>
                <w:sz w:val="20"/>
                <w:szCs w:val="20"/>
              </w:rPr>
            </w:pPr>
          </w:p>
        </w:tc>
      </w:tr>
      <w:tr w14:paraId="0F17852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6FBD5EF6">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27BF56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50292CA">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726E6831">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1351ABF6">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08C1335">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17960A5A">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485FC25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3ED628FC">
            <w:pPr>
              <w:widowControl/>
              <w:jc w:val="center"/>
              <w:rPr>
                <w:rFonts w:ascii="宋体" w:hAnsi="宋体" w:eastAsia="宋体" w:cs="宋体"/>
                <w:color w:val="auto"/>
                <w:kern w:val="0"/>
                <w:sz w:val="20"/>
                <w:szCs w:val="20"/>
              </w:rPr>
            </w:pPr>
          </w:p>
        </w:tc>
      </w:tr>
    </w:tbl>
    <w:p w14:paraId="45708A90">
      <w:pPr>
        <w:bidi w:val="0"/>
        <w:rPr>
          <w:rFonts w:hint="eastAsia" w:ascii="宋体" w:hAnsi="宋体" w:eastAsia="宋体" w:cs="宋体"/>
          <w:color w:val="auto"/>
          <w:sz w:val="24"/>
          <w:szCs w:val="24"/>
        </w:rPr>
      </w:pPr>
      <w:r>
        <w:rPr>
          <w:rFonts w:hint="eastAsia" w:ascii="宋体" w:hAnsi="宋体" w:eastAsia="宋体" w:cs="宋体"/>
          <w:color w:val="auto"/>
          <w:sz w:val="24"/>
          <w:szCs w:val="24"/>
        </w:rPr>
        <w:t>注：1.以上报价含生产制作、包装、运输、保险、安装调试、利润、税金、专利技术、培训、技术支持等一切费用。</w:t>
      </w:r>
    </w:p>
    <w:p w14:paraId="68D9B6E2">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按采购需求逐项列示、总价不得超过采购预算，并与《</w:t>
      </w:r>
      <w:r>
        <w:rPr>
          <w:rFonts w:hint="eastAsia" w:ascii="宋体" w:hAnsi="宋体" w:eastAsia="宋体" w:cs="宋体"/>
          <w:color w:val="auto"/>
          <w:sz w:val="24"/>
          <w:szCs w:val="24"/>
          <w:lang w:eastAsia="zh-CN"/>
        </w:rPr>
        <w:t>开标一览表</w:t>
      </w:r>
      <w:r>
        <w:rPr>
          <w:rFonts w:hint="eastAsia" w:ascii="宋体" w:hAnsi="宋体" w:eastAsia="宋体" w:cs="宋体"/>
          <w:color w:val="auto"/>
          <w:sz w:val="24"/>
          <w:szCs w:val="24"/>
        </w:rPr>
        <w:t>》保持一致。</w:t>
      </w:r>
    </w:p>
    <w:p w14:paraId="10CA5A74">
      <w:pPr>
        <w:bidi w:val="0"/>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szCs w:val="24"/>
        </w:rPr>
        <w:t>3.此表可自行扩展。</w:t>
      </w:r>
    </w:p>
    <w:p w14:paraId="006C7301">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lang w:eastAsia="zh-CN"/>
        </w:rPr>
      </w:pPr>
    </w:p>
    <w:p w14:paraId="337D9CD5">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lang w:val="en-US" w:eastAsia="zh-CN"/>
        </w:rPr>
        <w:t xml:space="preserve">名称：                     </w:t>
      </w:r>
      <w:r>
        <w:rPr>
          <w:rFonts w:hint="eastAsia" w:ascii="宋体" w:hAnsi="宋体" w:cs="宋体"/>
          <w:color w:val="auto"/>
          <w:sz w:val="24"/>
          <w:highlight w:val="none"/>
          <w:lang w:eastAsia="zh-CN"/>
        </w:rPr>
        <w:t>（盖单位公章）</w:t>
      </w:r>
    </w:p>
    <w:p w14:paraId="4204BA1D">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法定代表人（单位负责人）或授权代表（签字并盖章）：</w:t>
      </w:r>
    </w:p>
    <w:p w14:paraId="638333B7">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lang w:eastAsia="zh-CN"/>
        </w:rPr>
        <w:t xml:space="preserve">     年     月     日</w:t>
      </w:r>
    </w:p>
    <w:p w14:paraId="480635D1">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B8F3D72">
      <w:pPr>
        <w:spacing w:before="48" w:line="220" w:lineRule="auto"/>
        <w:outlineLvl w:val="9"/>
        <w:rPr>
          <w:rFonts w:hint="eastAsia" w:ascii="宋体" w:hAnsi="宋体" w:eastAsia="宋体" w:cs="宋体"/>
          <w:color w:val="auto"/>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格式四：</w:t>
      </w:r>
      <w:r>
        <w:rPr>
          <w:rFonts w:hint="eastAsia" w:ascii="宋体" w:hAnsi="宋体" w:eastAsia="宋体" w:cs="宋体"/>
          <w:color w:val="auto"/>
          <w:sz w:val="24"/>
          <w:szCs w:val="24"/>
          <w14:textOutline w14:w="4358" w14:cap="sq" w14:cmpd="sng">
            <w14:solidFill>
              <w14:srgbClr w14:val="000000"/>
            </w14:solidFill>
            <w14:prstDash w14:val="solid"/>
            <w14:bevel/>
          </w14:textOutline>
        </w:rPr>
        <w:t>采购需求偏离表（格式）</w:t>
      </w:r>
    </w:p>
    <w:p w14:paraId="3371D1EE">
      <w:pPr>
        <w:spacing w:before="78" w:line="185" w:lineRule="auto"/>
        <w:outlineLvl w:val="9"/>
        <w:rPr>
          <w:rFonts w:hint="eastAsia" w:ascii="宋体" w:hAnsi="宋体" w:eastAsia="宋体" w:cs="宋体"/>
          <w:color w:val="auto"/>
          <w:spacing w:val="-1"/>
          <w:sz w:val="24"/>
          <w:szCs w:val="24"/>
        </w:rPr>
      </w:pPr>
    </w:p>
    <w:p w14:paraId="71CD0593">
      <w:pPr>
        <w:spacing w:before="78" w:line="185" w:lineRule="auto"/>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61A5BCB2">
      <w:pPr>
        <w:spacing w:before="180" w:line="185"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2"/>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65CE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noWrap w:val="0"/>
            <w:vAlign w:val="center"/>
          </w:tcPr>
          <w:p w14:paraId="00632D4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8" w:type="dxa"/>
            <w:noWrap w:val="0"/>
            <w:vAlign w:val="center"/>
          </w:tcPr>
          <w:p w14:paraId="21BD48E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4063" w:type="dxa"/>
            <w:noWrap w:val="0"/>
            <w:vAlign w:val="center"/>
          </w:tcPr>
          <w:p w14:paraId="3A1F993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文件规定的货物需求、技术规格</w:t>
            </w:r>
          </w:p>
        </w:tc>
        <w:tc>
          <w:tcPr>
            <w:tcW w:w="2180" w:type="dxa"/>
            <w:noWrap w:val="0"/>
            <w:vAlign w:val="center"/>
          </w:tcPr>
          <w:p w14:paraId="7397184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对应的货物情况、技术规格</w:t>
            </w:r>
          </w:p>
        </w:tc>
        <w:tc>
          <w:tcPr>
            <w:tcW w:w="897" w:type="dxa"/>
            <w:noWrap w:val="0"/>
            <w:vAlign w:val="center"/>
          </w:tcPr>
          <w:p w14:paraId="004695E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w:t>
            </w:r>
          </w:p>
        </w:tc>
        <w:tc>
          <w:tcPr>
            <w:tcW w:w="756" w:type="dxa"/>
            <w:noWrap w:val="0"/>
            <w:vAlign w:val="center"/>
          </w:tcPr>
          <w:p w14:paraId="65BE513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BB2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1B387C9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48" w:type="dxa"/>
            <w:noWrap w:val="0"/>
            <w:vAlign w:val="center"/>
          </w:tcPr>
          <w:p w14:paraId="610579A7">
            <w:pPr>
              <w:bidi w:val="0"/>
              <w:jc w:val="center"/>
              <w:rPr>
                <w:rFonts w:hint="eastAsia" w:ascii="宋体" w:hAnsi="宋体" w:eastAsia="宋体" w:cs="宋体"/>
                <w:color w:val="auto"/>
                <w:sz w:val="24"/>
                <w:szCs w:val="24"/>
              </w:rPr>
            </w:pPr>
          </w:p>
        </w:tc>
        <w:tc>
          <w:tcPr>
            <w:tcW w:w="4063" w:type="dxa"/>
            <w:noWrap w:val="0"/>
            <w:vAlign w:val="center"/>
          </w:tcPr>
          <w:p w14:paraId="500B1281">
            <w:pPr>
              <w:bidi w:val="0"/>
              <w:jc w:val="center"/>
              <w:rPr>
                <w:rFonts w:hint="eastAsia" w:ascii="宋体" w:hAnsi="宋体" w:eastAsia="宋体" w:cs="宋体"/>
                <w:color w:val="auto"/>
                <w:sz w:val="24"/>
                <w:szCs w:val="24"/>
                <w:lang w:val="en-US"/>
              </w:rPr>
            </w:pPr>
          </w:p>
        </w:tc>
        <w:tc>
          <w:tcPr>
            <w:tcW w:w="2180" w:type="dxa"/>
            <w:noWrap w:val="0"/>
            <w:vAlign w:val="center"/>
          </w:tcPr>
          <w:p w14:paraId="1906050D">
            <w:pPr>
              <w:bidi w:val="0"/>
              <w:jc w:val="center"/>
              <w:rPr>
                <w:rFonts w:hint="eastAsia" w:ascii="宋体" w:hAnsi="宋体" w:eastAsia="宋体" w:cs="宋体"/>
                <w:color w:val="auto"/>
                <w:sz w:val="24"/>
                <w:szCs w:val="24"/>
              </w:rPr>
            </w:pPr>
          </w:p>
        </w:tc>
        <w:tc>
          <w:tcPr>
            <w:tcW w:w="897" w:type="dxa"/>
            <w:noWrap w:val="0"/>
            <w:vAlign w:val="center"/>
          </w:tcPr>
          <w:p w14:paraId="40B3E4AF">
            <w:pPr>
              <w:bidi w:val="0"/>
              <w:jc w:val="center"/>
              <w:rPr>
                <w:rFonts w:hint="eastAsia" w:ascii="宋体" w:hAnsi="宋体" w:eastAsia="宋体" w:cs="宋体"/>
                <w:color w:val="auto"/>
                <w:sz w:val="24"/>
                <w:szCs w:val="24"/>
              </w:rPr>
            </w:pPr>
          </w:p>
        </w:tc>
        <w:tc>
          <w:tcPr>
            <w:tcW w:w="756" w:type="dxa"/>
            <w:noWrap w:val="0"/>
            <w:vAlign w:val="center"/>
          </w:tcPr>
          <w:p w14:paraId="70D9A98F">
            <w:pPr>
              <w:bidi w:val="0"/>
              <w:jc w:val="center"/>
              <w:rPr>
                <w:rFonts w:hint="eastAsia" w:ascii="宋体" w:hAnsi="宋体" w:eastAsia="宋体" w:cs="宋体"/>
                <w:color w:val="auto"/>
                <w:sz w:val="24"/>
                <w:szCs w:val="24"/>
              </w:rPr>
            </w:pPr>
          </w:p>
        </w:tc>
      </w:tr>
      <w:tr w14:paraId="4DC4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5BCC881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48" w:type="dxa"/>
            <w:noWrap w:val="0"/>
            <w:vAlign w:val="center"/>
          </w:tcPr>
          <w:p w14:paraId="0F42F0FD">
            <w:pPr>
              <w:bidi w:val="0"/>
              <w:jc w:val="center"/>
              <w:rPr>
                <w:rFonts w:hint="eastAsia" w:ascii="宋体" w:hAnsi="宋体" w:eastAsia="宋体" w:cs="宋体"/>
                <w:color w:val="auto"/>
                <w:sz w:val="24"/>
                <w:szCs w:val="24"/>
              </w:rPr>
            </w:pPr>
          </w:p>
        </w:tc>
        <w:tc>
          <w:tcPr>
            <w:tcW w:w="4063" w:type="dxa"/>
            <w:noWrap w:val="0"/>
            <w:vAlign w:val="center"/>
          </w:tcPr>
          <w:p w14:paraId="469E09CD">
            <w:pPr>
              <w:bidi w:val="0"/>
              <w:jc w:val="center"/>
              <w:rPr>
                <w:rFonts w:hint="eastAsia" w:ascii="宋体" w:hAnsi="宋体" w:eastAsia="宋体" w:cs="宋体"/>
                <w:color w:val="auto"/>
                <w:sz w:val="24"/>
                <w:szCs w:val="24"/>
              </w:rPr>
            </w:pPr>
          </w:p>
        </w:tc>
        <w:tc>
          <w:tcPr>
            <w:tcW w:w="2180" w:type="dxa"/>
            <w:noWrap w:val="0"/>
            <w:vAlign w:val="center"/>
          </w:tcPr>
          <w:p w14:paraId="6EFFB511">
            <w:pPr>
              <w:bidi w:val="0"/>
              <w:jc w:val="center"/>
              <w:rPr>
                <w:rFonts w:hint="eastAsia" w:ascii="宋体" w:hAnsi="宋体" w:eastAsia="宋体" w:cs="宋体"/>
                <w:color w:val="auto"/>
                <w:sz w:val="24"/>
                <w:szCs w:val="24"/>
              </w:rPr>
            </w:pPr>
          </w:p>
        </w:tc>
        <w:tc>
          <w:tcPr>
            <w:tcW w:w="897" w:type="dxa"/>
            <w:noWrap w:val="0"/>
            <w:vAlign w:val="center"/>
          </w:tcPr>
          <w:p w14:paraId="0D18DD07">
            <w:pPr>
              <w:bidi w:val="0"/>
              <w:jc w:val="center"/>
              <w:rPr>
                <w:rFonts w:hint="eastAsia" w:ascii="宋体" w:hAnsi="宋体" w:eastAsia="宋体" w:cs="宋体"/>
                <w:color w:val="auto"/>
                <w:sz w:val="24"/>
                <w:szCs w:val="24"/>
              </w:rPr>
            </w:pPr>
          </w:p>
        </w:tc>
        <w:tc>
          <w:tcPr>
            <w:tcW w:w="756" w:type="dxa"/>
            <w:noWrap w:val="0"/>
            <w:vAlign w:val="center"/>
          </w:tcPr>
          <w:p w14:paraId="0B7747F1">
            <w:pPr>
              <w:bidi w:val="0"/>
              <w:jc w:val="center"/>
              <w:rPr>
                <w:rFonts w:hint="eastAsia" w:ascii="宋体" w:hAnsi="宋体" w:eastAsia="宋体" w:cs="宋体"/>
                <w:color w:val="auto"/>
                <w:sz w:val="24"/>
                <w:szCs w:val="24"/>
              </w:rPr>
            </w:pPr>
          </w:p>
        </w:tc>
      </w:tr>
      <w:tr w14:paraId="5BCC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519F1026">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48" w:type="dxa"/>
            <w:noWrap w:val="0"/>
            <w:vAlign w:val="center"/>
          </w:tcPr>
          <w:p w14:paraId="064476C8">
            <w:pPr>
              <w:bidi w:val="0"/>
              <w:jc w:val="center"/>
              <w:rPr>
                <w:rFonts w:hint="eastAsia" w:ascii="宋体" w:hAnsi="宋体" w:eastAsia="宋体" w:cs="宋体"/>
                <w:color w:val="auto"/>
                <w:sz w:val="24"/>
                <w:szCs w:val="24"/>
              </w:rPr>
            </w:pPr>
          </w:p>
        </w:tc>
        <w:tc>
          <w:tcPr>
            <w:tcW w:w="4063" w:type="dxa"/>
            <w:noWrap w:val="0"/>
            <w:vAlign w:val="center"/>
          </w:tcPr>
          <w:p w14:paraId="580127E3">
            <w:pPr>
              <w:bidi w:val="0"/>
              <w:jc w:val="center"/>
              <w:rPr>
                <w:rFonts w:hint="eastAsia" w:ascii="宋体" w:hAnsi="宋体" w:eastAsia="宋体" w:cs="宋体"/>
                <w:color w:val="auto"/>
                <w:sz w:val="24"/>
                <w:szCs w:val="24"/>
              </w:rPr>
            </w:pPr>
          </w:p>
        </w:tc>
        <w:tc>
          <w:tcPr>
            <w:tcW w:w="2180" w:type="dxa"/>
            <w:noWrap w:val="0"/>
            <w:vAlign w:val="center"/>
          </w:tcPr>
          <w:p w14:paraId="671A9066">
            <w:pPr>
              <w:bidi w:val="0"/>
              <w:jc w:val="center"/>
              <w:rPr>
                <w:rFonts w:hint="eastAsia" w:ascii="宋体" w:hAnsi="宋体" w:eastAsia="宋体" w:cs="宋体"/>
                <w:color w:val="auto"/>
                <w:sz w:val="24"/>
                <w:szCs w:val="24"/>
              </w:rPr>
            </w:pPr>
          </w:p>
        </w:tc>
        <w:tc>
          <w:tcPr>
            <w:tcW w:w="897" w:type="dxa"/>
            <w:noWrap w:val="0"/>
            <w:vAlign w:val="center"/>
          </w:tcPr>
          <w:p w14:paraId="43338AC2">
            <w:pPr>
              <w:bidi w:val="0"/>
              <w:jc w:val="center"/>
              <w:rPr>
                <w:rFonts w:hint="eastAsia" w:ascii="宋体" w:hAnsi="宋体" w:eastAsia="宋体" w:cs="宋体"/>
                <w:color w:val="auto"/>
                <w:sz w:val="24"/>
                <w:szCs w:val="24"/>
              </w:rPr>
            </w:pPr>
          </w:p>
        </w:tc>
        <w:tc>
          <w:tcPr>
            <w:tcW w:w="756" w:type="dxa"/>
            <w:noWrap w:val="0"/>
            <w:vAlign w:val="center"/>
          </w:tcPr>
          <w:p w14:paraId="0F19E6BC">
            <w:pPr>
              <w:bidi w:val="0"/>
              <w:jc w:val="center"/>
              <w:rPr>
                <w:rFonts w:hint="eastAsia" w:ascii="宋体" w:hAnsi="宋体" w:eastAsia="宋体" w:cs="宋体"/>
                <w:color w:val="auto"/>
                <w:sz w:val="24"/>
                <w:szCs w:val="24"/>
              </w:rPr>
            </w:pPr>
          </w:p>
        </w:tc>
      </w:tr>
      <w:tr w14:paraId="35A0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7F7CF95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48" w:type="dxa"/>
            <w:noWrap w:val="0"/>
            <w:vAlign w:val="center"/>
          </w:tcPr>
          <w:p w14:paraId="1441D093">
            <w:pPr>
              <w:bidi w:val="0"/>
              <w:jc w:val="center"/>
              <w:rPr>
                <w:rFonts w:hint="eastAsia" w:ascii="宋体" w:hAnsi="宋体" w:eastAsia="宋体" w:cs="宋体"/>
                <w:color w:val="auto"/>
                <w:sz w:val="24"/>
                <w:szCs w:val="24"/>
              </w:rPr>
            </w:pPr>
          </w:p>
        </w:tc>
        <w:tc>
          <w:tcPr>
            <w:tcW w:w="4063" w:type="dxa"/>
            <w:noWrap w:val="0"/>
            <w:vAlign w:val="center"/>
          </w:tcPr>
          <w:p w14:paraId="5C1E65F6">
            <w:pPr>
              <w:bidi w:val="0"/>
              <w:jc w:val="center"/>
              <w:rPr>
                <w:rFonts w:hint="eastAsia" w:ascii="宋体" w:hAnsi="宋体" w:eastAsia="宋体" w:cs="宋体"/>
                <w:color w:val="auto"/>
                <w:sz w:val="24"/>
                <w:szCs w:val="24"/>
              </w:rPr>
            </w:pPr>
          </w:p>
        </w:tc>
        <w:tc>
          <w:tcPr>
            <w:tcW w:w="2180" w:type="dxa"/>
            <w:noWrap w:val="0"/>
            <w:vAlign w:val="center"/>
          </w:tcPr>
          <w:p w14:paraId="26FD280A">
            <w:pPr>
              <w:bidi w:val="0"/>
              <w:jc w:val="center"/>
              <w:rPr>
                <w:rFonts w:hint="eastAsia" w:ascii="宋体" w:hAnsi="宋体" w:eastAsia="宋体" w:cs="宋体"/>
                <w:color w:val="auto"/>
                <w:sz w:val="24"/>
                <w:szCs w:val="24"/>
              </w:rPr>
            </w:pPr>
          </w:p>
        </w:tc>
        <w:tc>
          <w:tcPr>
            <w:tcW w:w="897" w:type="dxa"/>
            <w:noWrap w:val="0"/>
            <w:vAlign w:val="center"/>
          </w:tcPr>
          <w:p w14:paraId="7BE5B9AF">
            <w:pPr>
              <w:bidi w:val="0"/>
              <w:jc w:val="center"/>
              <w:rPr>
                <w:rFonts w:hint="eastAsia" w:ascii="宋体" w:hAnsi="宋体" w:eastAsia="宋体" w:cs="宋体"/>
                <w:color w:val="auto"/>
                <w:sz w:val="24"/>
                <w:szCs w:val="24"/>
              </w:rPr>
            </w:pPr>
          </w:p>
        </w:tc>
        <w:tc>
          <w:tcPr>
            <w:tcW w:w="756" w:type="dxa"/>
            <w:noWrap w:val="0"/>
            <w:vAlign w:val="center"/>
          </w:tcPr>
          <w:p w14:paraId="23C764A3">
            <w:pPr>
              <w:bidi w:val="0"/>
              <w:jc w:val="center"/>
              <w:rPr>
                <w:rFonts w:hint="eastAsia" w:ascii="宋体" w:hAnsi="宋体" w:eastAsia="宋体" w:cs="宋体"/>
                <w:color w:val="auto"/>
                <w:sz w:val="24"/>
                <w:szCs w:val="24"/>
              </w:rPr>
            </w:pPr>
          </w:p>
        </w:tc>
      </w:tr>
      <w:tr w14:paraId="2F0E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57C7E12">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48" w:type="dxa"/>
            <w:noWrap w:val="0"/>
            <w:vAlign w:val="center"/>
          </w:tcPr>
          <w:p w14:paraId="7CAFB103">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00E89EE1">
            <w:pPr>
              <w:bidi w:val="0"/>
              <w:jc w:val="center"/>
              <w:rPr>
                <w:rFonts w:hint="eastAsia" w:ascii="宋体" w:hAnsi="宋体" w:eastAsia="宋体" w:cs="宋体"/>
                <w:color w:val="auto"/>
                <w:sz w:val="24"/>
                <w:szCs w:val="24"/>
              </w:rPr>
            </w:pPr>
          </w:p>
        </w:tc>
        <w:tc>
          <w:tcPr>
            <w:tcW w:w="2180" w:type="dxa"/>
            <w:noWrap w:val="0"/>
            <w:vAlign w:val="center"/>
          </w:tcPr>
          <w:p w14:paraId="485015AF">
            <w:pPr>
              <w:bidi w:val="0"/>
              <w:jc w:val="center"/>
              <w:rPr>
                <w:rFonts w:hint="eastAsia" w:ascii="宋体" w:hAnsi="宋体" w:eastAsia="宋体" w:cs="宋体"/>
                <w:color w:val="auto"/>
                <w:sz w:val="24"/>
                <w:szCs w:val="24"/>
              </w:rPr>
            </w:pPr>
          </w:p>
        </w:tc>
        <w:tc>
          <w:tcPr>
            <w:tcW w:w="897" w:type="dxa"/>
            <w:noWrap w:val="0"/>
            <w:vAlign w:val="center"/>
          </w:tcPr>
          <w:p w14:paraId="326ADD7E">
            <w:pPr>
              <w:bidi w:val="0"/>
              <w:jc w:val="center"/>
              <w:rPr>
                <w:rFonts w:hint="eastAsia" w:ascii="宋体" w:hAnsi="宋体" w:eastAsia="宋体" w:cs="宋体"/>
                <w:color w:val="auto"/>
                <w:sz w:val="24"/>
                <w:szCs w:val="24"/>
              </w:rPr>
            </w:pPr>
          </w:p>
        </w:tc>
        <w:tc>
          <w:tcPr>
            <w:tcW w:w="756" w:type="dxa"/>
            <w:noWrap w:val="0"/>
            <w:vAlign w:val="center"/>
          </w:tcPr>
          <w:p w14:paraId="496F4997">
            <w:pPr>
              <w:bidi w:val="0"/>
              <w:jc w:val="center"/>
              <w:rPr>
                <w:rFonts w:hint="eastAsia" w:ascii="宋体" w:hAnsi="宋体" w:eastAsia="宋体" w:cs="宋体"/>
                <w:color w:val="auto"/>
                <w:sz w:val="24"/>
                <w:szCs w:val="24"/>
              </w:rPr>
            </w:pPr>
          </w:p>
        </w:tc>
      </w:tr>
      <w:tr w14:paraId="5EF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3932F7B">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48" w:type="dxa"/>
            <w:noWrap w:val="0"/>
            <w:vAlign w:val="center"/>
          </w:tcPr>
          <w:p w14:paraId="2A40F882">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59363F6A">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022441B">
            <w:pPr>
              <w:bidi w:val="0"/>
              <w:jc w:val="center"/>
              <w:rPr>
                <w:rFonts w:hint="eastAsia" w:ascii="宋体" w:hAnsi="宋体" w:eastAsia="宋体" w:cs="宋体"/>
                <w:color w:val="auto"/>
                <w:sz w:val="24"/>
                <w:szCs w:val="24"/>
              </w:rPr>
            </w:pPr>
          </w:p>
        </w:tc>
        <w:tc>
          <w:tcPr>
            <w:tcW w:w="897" w:type="dxa"/>
            <w:noWrap w:val="0"/>
            <w:vAlign w:val="center"/>
          </w:tcPr>
          <w:p w14:paraId="0698FCB8">
            <w:pPr>
              <w:bidi w:val="0"/>
              <w:jc w:val="center"/>
              <w:rPr>
                <w:rFonts w:hint="eastAsia" w:ascii="宋体" w:hAnsi="宋体" w:eastAsia="宋体" w:cs="宋体"/>
                <w:color w:val="auto"/>
                <w:sz w:val="24"/>
                <w:szCs w:val="24"/>
              </w:rPr>
            </w:pPr>
          </w:p>
        </w:tc>
        <w:tc>
          <w:tcPr>
            <w:tcW w:w="756" w:type="dxa"/>
            <w:noWrap w:val="0"/>
            <w:vAlign w:val="center"/>
          </w:tcPr>
          <w:p w14:paraId="55B9A75B">
            <w:pPr>
              <w:bidi w:val="0"/>
              <w:jc w:val="center"/>
              <w:rPr>
                <w:rFonts w:hint="eastAsia" w:ascii="宋体" w:hAnsi="宋体" w:eastAsia="宋体" w:cs="宋体"/>
                <w:color w:val="auto"/>
                <w:sz w:val="24"/>
                <w:szCs w:val="24"/>
              </w:rPr>
            </w:pPr>
          </w:p>
        </w:tc>
      </w:tr>
      <w:tr w14:paraId="3E51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3C81D0C1">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48" w:type="dxa"/>
            <w:noWrap w:val="0"/>
            <w:vAlign w:val="center"/>
          </w:tcPr>
          <w:p w14:paraId="7AD111A8">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6422F28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385239B">
            <w:pPr>
              <w:bidi w:val="0"/>
              <w:jc w:val="center"/>
              <w:rPr>
                <w:rFonts w:hint="eastAsia" w:ascii="宋体" w:hAnsi="宋体" w:eastAsia="宋体" w:cs="宋体"/>
                <w:color w:val="auto"/>
                <w:sz w:val="24"/>
                <w:szCs w:val="24"/>
              </w:rPr>
            </w:pPr>
          </w:p>
        </w:tc>
        <w:tc>
          <w:tcPr>
            <w:tcW w:w="897" w:type="dxa"/>
            <w:noWrap w:val="0"/>
            <w:vAlign w:val="center"/>
          </w:tcPr>
          <w:p w14:paraId="1D525E69">
            <w:pPr>
              <w:bidi w:val="0"/>
              <w:jc w:val="center"/>
              <w:rPr>
                <w:rFonts w:hint="eastAsia" w:ascii="宋体" w:hAnsi="宋体" w:eastAsia="宋体" w:cs="宋体"/>
                <w:color w:val="auto"/>
                <w:sz w:val="24"/>
                <w:szCs w:val="24"/>
              </w:rPr>
            </w:pPr>
          </w:p>
        </w:tc>
        <w:tc>
          <w:tcPr>
            <w:tcW w:w="756" w:type="dxa"/>
            <w:noWrap w:val="0"/>
            <w:vAlign w:val="center"/>
          </w:tcPr>
          <w:p w14:paraId="2271A1B3">
            <w:pPr>
              <w:bidi w:val="0"/>
              <w:jc w:val="center"/>
              <w:rPr>
                <w:rFonts w:hint="eastAsia" w:ascii="宋体" w:hAnsi="宋体" w:eastAsia="宋体" w:cs="宋体"/>
                <w:color w:val="auto"/>
                <w:sz w:val="24"/>
                <w:szCs w:val="24"/>
              </w:rPr>
            </w:pPr>
          </w:p>
        </w:tc>
      </w:tr>
      <w:tr w14:paraId="7914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309CA0D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48" w:type="dxa"/>
            <w:noWrap w:val="0"/>
            <w:vAlign w:val="center"/>
          </w:tcPr>
          <w:p w14:paraId="25F749D0">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1B761373">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428D8BAA">
            <w:pPr>
              <w:bidi w:val="0"/>
              <w:jc w:val="center"/>
              <w:rPr>
                <w:rFonts w:hint="eastAsia" w:ascii="宋体" w:hAnsi="宋体" w:eastAsia="宋体" w:cs="宋体"/>
                <w:color w:val="auto"/>
                <w:sz w:val="24"/>
                <w:szCs w:val="24"/>
              </w:rPr>
            </w:pPr>
          </w:p>
        </w:tc>
        <w:tc>
          <w:tcPr>
            <w:tcW w:w="897" w:type="dxa"/>
            <w:noWrap w:val="0"/>
            <w:vAlign w:val="center"/>
          </w:tcPr>
          <w:p w14:paraId="13411B9C">
            <w:pPr>
              <w:bidi w:val="0"/>
              <w:jc w:val="center"/>
              <w:rPr>
                <w:rFonts w:hint="eastAsia" w:ascii="宋体" w:hAnsi="宋体" w:eastAsia="宋体" w:cs="宋体"/>
                <w:color w:val="auto"/>
                <w:sz w:val="24"/>
                <w:szCs w:val="24"/>
              </w:rPr>
            </w:pPr>
          </w:p>
        </w:tc>
        <w:tc>
          <w:tcPr>
            <w:tcW w:w="756" w:type="dxa"/>
            <w:noWrap w:val="0"/>
            <w:vAlign w:val="center"/>
          </w:tcPr>
          <w:p w14:paraId="4B115ECE">
            <w:pPr>
              <w:bidi w:val="0"/>
              <w:jc w:val="center"/>
              <w:rPr>
                <w:rFonts w:hint="eastAsia" w:ascii="宋体" w:hAnsi="宋体" w:eastAsia="宋体" w:cs="宋体"/>
                <w:color w:val="auto"/>
                <w:sz w:val="24"/>
                <w:szCs w:val="24"/>
              </w:rPr>
            </w:pPr>
          </w:p>
        </w:tc>
      </w:tr>
      <w:tr w14:paraId="657C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55B3F99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48" w:type="dxa"/>
            <w:noWrap w:val="0"/>
            <w:vAlign w:val="center"/>
          </w:tcPr>
          <w:p w14:paraId="309D4246">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1ED9D778">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804DAC1">
            <w:pPr>
              <w:bidi w:val="0"/>
              <w:jc w:val="center"/>
              <w:rPr>
                <w:rFonts w:hint="eastAsia" w:ascii="宋体" w:hAnsi="宋体" w:eastAsia="宋体" w:cs="宋体"/>
                <w:color w:val="auto"/>
                <w:sz w:val="24"/>
                <w:szCs w:val="24"/>
              </w:rPr>
            </w:pPr>
          </w:p>
        </w:tc>
        <w:tc>
          <w:tcPr>
            <w:tcW w:w="897" w:type="dxa"/>
            <w:noWrap w:val="0"/>
            <w:vAlign w:val="center"/>
          </w:tcPr>
          <w:p w14:paraId="6241F3FD">
            <w:pPr>
              <w:bidi w:val="0"/>
              <w:jc w:val="center"/>
              <w:rPr>
                <w:rFonts w:hint="eastAsia" w:ascii="宋体" w:hAnsi="宋体" w:eastAsia="宋体" w:cs="宋体"/>
                <w:color w:val="auto"/>
                <w:sz w:val="24"/>
                <w:szCs w:val="24"/>
              </w:rPr>
            </w:pPr>
          </w:p>
        </w:tc>
        <w:tc>
          <w:tcPr>
            <w:tcW w:w="756" w:type="dxa"/>
            <w:noWrap w:val="0"/>
            <w:vAlign w:val="center"/>
          </w:tcPr>
          <w:p w14:paraId="3969CE73">
            <w:pPr>
              <w:bidi w:val="0"/>
              <w:jc w:val="center"/>
              <w:rPr>
                <w:rFonts w:hint="eastAsia" w:ascii="宋体" w:hAnsi="宋体" w:eastAsia="宋体" w:cs="宋体"/>
                <w:color w:val="auto"/>
                <w:sz w:val="24"/>
                <w:szCs w:val="24"/>
              </w:rPr>
            </w:pPr>
          </w:p>
        </w:tc>
      </w:tr>
      <w:tr w14:paraId="26C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6995DDA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48" w:type="dxa"/>
            <w:noWrap w:val="0"/>
            <w:vAlign w:val="center"/>
          </w:tcPr>
          <w:p w14:paraId="0BF55ADC">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5E61862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7A035763">
            <w:pPr>
              <w:bidi w:val="0"/>
              <w:jc w:val="center"/>
              <w:rPr>
                <w:rFonts w:hint="eastAsia" w:ascii="宋体" w:hAnsi="宋体" w:eastAsia="宋体" w:cs="宋体"/>
                <w:color w:val="auto"/>
                <w:sz w:val="24"/>
                <w:szCs w:val="24"/>
              </w:rPr>
            </w:pPr>
          </w:p>
        </w:tc>
        <w:tc>
          <w:tcPr>
            <w:tcW w:w="897" w:type="dxa"/>
            <w:noWrap w:val="0"/>
            <w:vAlign w:val="center"/>
          </w:tcPr>
          <w:p w14:paraId="1EFF42CB">
            <w:pPr>
              <w:bidi w:val="0"/>
              <w:jc w:val="center"/>
              <w:rPr>
                <w:rFonts w:hint="eastAsia" w:ascii="宋体" w:hAnsi="宋体" w:eastAsia="宋体" w:cs="宋体"/>
                <w:color w:val="auto"/>
                <w:sz w:val="24"/>
                <w:szCs w:val="24"/>
              </w:rPr>
            </w:pPr>
          </w:p>
        </w:tc>
        <w:tc>
          <w:tcPr>
            <w:tcW w:w="756" w:type="dxa"/>
            <w:noWrap w:val="0"/>
            <w:vAlign w:val="center"/>
          </w:tcPr>
          <w:p w14:paraId="766F27D2">
            <w:pPr>
              <w:bidi w:val="0"/>
              <w:jc w:val="center"/>
              <w:rPr>
                <w:rFonts w:hint="eastAsia" w:ascii="宋体" w:hAnsi="宋体" w:eastAsia="宋体" w:cs="宋体"/>
                <w:color w:val="auto"/>
                <w:sz w:val="24"/>
                <w:szCs w:val="24"/>
              </w:rPr>
            </w:pPr>
          </w:p>
        </w:tc>
      </w:tr>
    </w:tbl>
    <w:p w14:paraId="5BC60F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注：1.对招标文件中的所有商务、技术要求，除本表所列明的所有偏离外，均视作供应商已对之理解和响应。</w:t>
      </w:r>
    </w:p>
    <w:p w14:paraId="5D130E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2.投标人应对招标文件“第五章 采购需求”中的所有条款进行点对点应答，此表中若无任何文字说明，内容为空白的，</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183624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3.“偏离情况”列应据实填写“无偏离”、“正偏离”或“负偏离”。</w:t>
      </w:r>
    </w:p>
    <w:p w14:paraId="0B643C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w:t>
      </w:r>
      <w:r>
        <w:rPr>
          <w:rFonts w:hint="eastAsia" w:ascii="宋体" w:hAnsi="宋体" w:eastAsia="宋体" w:cs="宋体"/>
          <w:b/>
          <w:bCs/>
          <w:color w:val="auto"/>
          <w:sz w:val="24"/>
          <w:szCs w:val="24"/>
        </w:rPr>
        <w:t>招标文件“第五章采购需求中”需提供佐证材料的项，应在此表备注栏明确标注对应页码，否则将视为未提供佐证材料。</w:t>
      </w:r>
    </w:p>
    <w:p w14:paraId="0F567C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（盖章）</w:t>
      </w:r>
    </w:p>
    <w:p w14:paraId="498DE4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法定代表人（单位负责人）或授权代表（签字并盖章）：</w:t>
      </w:r>
    </w:p>
    <w:p w14:paraId="1791BB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3F940A94">
      <w:pPr>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00AAB21">
      <w:pPr>
        <w:spacing w:before="48" w:line="220" w:lineRule="auto"/>
        <w:outlineLvl w:val="9"/>
        <w:rPr>
          <w:rFonts w:hint="eastAsia" w:ascii="宋体" w:hAnsi="宋体" w:eastAsia="宋体" w:cs="宋体"/>
          <w:color w:val="auto"/>
          <w:sz w:val="24"/>
          <w:szCs w:val="24"/>
        </w:rPr>
      </w:pPr>
      <w:bookmarkStart w:id="45" w:name="_Toc6032"/>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格式五：</w:t>
      </w:r>
      <w:bookmarkEnd w:id="45"/>
    </w:p>
    <w:p w14:paraId="1FD3ED44">
      <w:pPr>
        <w:spacing w:before="182" w:line="219" w:lineRule="auto"/>
        <w:ind w:left="3324"/>
        <w:outlineLvl w:val="9"/>
        <w:rPr>
          <w:rFonts w:hint="eastAsia" w:ascii="宋体" w:hAnsi="宋体" w:eastAsia="宋体" w:cs="宋体"/>
          <w:color w:val="auto"/>
          <w:sz w:val="24"/>
          <w:szCs w:val="24"/>
        </w:rPr>
      </w:pPr>
      <w:bookmarkStart w:id="46" w:name="_Toc6896"/>
      <w:r>
        <w:rPr>
          <w:rFonts w:hint="eastAsia" w:ascii="宋体" w:hAnsi="宋体" w:eastAsia="宋体" w:cs="宋体"/>
          <w:color w:val="auto"/>
          <w:sz w:val="24"/>
          <w:szCs w:val="24"/>
          <w14:textOutline w14:w="4358" w14:cap="sq" w14:cmpd="sng">
            <w14:solidFill>
              <w14:srgbClr w14:val="000000"/>
            </w14:solidFill>
            <w14:prstDash w14:val="solid"/>
            <w14:bevel/>
          </w14:textOutline>
        </w:rPr>
        <w:t>售后服务承诺书（格式）</w:t>
      </w:r>
      <w:bookmarkEnd w:id="46"/>
    </w:p>
    <w:p w14:paraId="3B778739">
      <w:pPr>
        <w:pStyle w:val="5"/>
        <w:spacing w:line="283" w:lineRule="auto"/>
        <w:outlineLvl w:val="9"/>
        <w:rPr>
          <w:rFonts w:hint="eastAsia" w:ascii="宋体" w:hAnsi="宋体" w:eastAsia="宋体" w:cs="宋体"/>
          <w:color w:val="auto"/>
        </w:rPr>
      </w:pPr>
    </w:p>
    <w:p w14:paraId="48139145">
      <w:pPr>
        <w:pStyle w:val="5"/>
        <w:spacing w:line="284" w:lineRule="auto"/>
        <w:outlineLvl w:val="9"/>
        <w:rPr>
          <w:rFonts w:hint="eastAsia" w:ascii="宋体" w:hAnsi="宋体" w:eastAsia="宋体" w:cs="宋体"/>
          <w:color w:val="auto"/>
        </w:rPr>
      </w:pPr>
    </w:p>
    <w:p w14:paraId="5EDD13B7">
      <w:pPr>
        <w:spacing w:before="78" w:line="220" w:lineRule="auto"/>
        <w:ind w:left="22"/>
        <w:outlineLvl w:val="9"/>
        <w:rPr>
          <w:rFonts w:hint="eastAsia" w:ascii="宋体" w:hAnsi="宋体" w:eastAsia="宋体" w:cs="宋体"/>
          <w:color w:val="auto"/>
          <w:sz w:val="24"/>
          <w:szCs w:val="24"/>
        </w:rPr>
      </w:pPr>
      <w:bookmarkStart w:id="47" w:name="_Toc25879"/>
      <w:r>
        <w:rPr>
          <w:rFonts w:hint="eastAsia" w:ascii="宋体" w:hAnsi="宋体" w:eastAsia="宋体" w:cs="宋体"/>
          <w:color w:val="auto"/>
          <w:spacing w:val="-3"/>
          <w:sz w:val="24"/>
          <w:szCs w:val="24"/>
        </w:rPr>
        <w:t>吉林省吉诚工程咨询有限公司：</w:t>
      </w:r>
      <w:bookmarkEnd w:id="47"/>
    </w:p>
    <w:p w14:paraId="23F52C2C">
      <w:pPr>
        <w:spacing w:before="179" w:line="360" w:lineRule="auto"/>
        <w:ind w:left="2" w:firstLine="479"/>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我公司自愿参加</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2"/>
          <w:sz w:val="24"/>
          <w:szCs w:val="24"/>
        </w:rPr>
        <w:t>项目（项目编号）的投标。我公司郑重承诺</w:t>
      </w:r>
      <w:r>
        <w:rPr>
          <w:rFonts w:hint="eastAsia" w:ascii="宋体" w:hAnsi="宋体" w:eastAsia="宋体" w:cs="宋体"/>
          <w:color w:val="auto"/>
          <w:spacing w:val="-3"/>
          <w:sz w:val="24"/>
          <w:szCs w:val="24"/>
        </w:rPr>
        <w:t>，如果我公司的</w:t>
      </w:r>
      <w:r>
        <w:rPr>
          <w:rFonts w:hint="eastAsia" w:ascii="宋体" w:hAnsi="宋体" w:eastAsia="宋体" w:cs="宋体"/>
          <w:color w:val="auto"/>
          <w:spacing w:val="-2"/>
          <w:sz w:val="24"/>
          <w:szCs w:val="24"/>
        </w:rPr>
        <w:t>投标被评定为中标，我公司对于中标货物，除完全响应招标文件合同条款对伴随服务和售</w:t>
      </w:r>
      <w:r>
        <w:rPr>
          <w:rFonts w:hint="eastAsia" w:ascii="宋体" w:hAnsi="宋体" w:eastAsia="宋体" w:cs="宋体"/>
          <w:color w:val="auto"/>
          <w:spacing w:val="-1"/>
          <w:sz w:val="24"/>
          <w:szCs w:val="24"/>
        </w:rPr>
        <w:t>后服务的所有要求外，还将按照以下条款提供优质和完善的售后服务：</w:t>
      </w:r>
    </w:p>
    <w:p w14:paraId="67D8568C">
      <w:pPr>
        <w:spacing w:before="217" w:line="469"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14"/>
          <w:position w:val="21"/>
          <w:sz w:val="24"/>
          <w:szCs w:val="24"/>
        </w:rPr>
        <w:t>1.</w:t>
      </w:r>
    </w:p>
    <w:p w14:paraId="7436477E">
      <w:pPr>
        <w:spacing w:line="183"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2.</w:t>
      </w:r>
    </w:p>
    <w:p w14:paraId="24E37562">
      <w:pPr>
        <w:spacing w:before="210" w:line="99" w:lineRule="exact"/>
        <w:ind w:left="486"/>
        <w:outlineLvl w:val="9"/>
        <w:rPr>
          <w:rFonts w:hint="eastAsia" w:ascii="宋体" w:hAnsi="宋体" w:eastAsia="宋体" w:cs="宋体"/>
          <w:color w:val="auto"/>
          <w:sz w:val="24"/>
          <w:szCs w:val="24"/>
        </w:rPr>
      </w:pPr>
      <w:r>
        <w:rPr>
          <w:rFonts w:hint="eastAsia" w:ascii="宋体" w:hAnsi="宋体" w:eastAsia="宋体" w:cs="宋体"/>
          <w:color w:val="auto"/>
          <w:position w:val="1"/>
          <w:sz w:val="24"/>
          <w:szCs w:val="24"/>
        </w:rPr>
        <w:t>...</w:t>
      </w:r>
    </w:p>
    <w:p w14:paraId="6C5523D7">
      <w:pPr>
        <w:pStyle w:val="5"/>
        <w:spacing w:line="295" w:lineRule="auto"/>
        <w:outlineLvl w:val="9"/>
        <w:rPr>
          <w:rFonts w:hint="eastAsia" w:ascii="宋体" w:hAnsi="宋体" w:eastAsia="宋体" w:cs="宋体"/>
          <w:color w:val="auto"/>
        </w:rPr>
      </w:pPr>
    </w:p>
    <w:p w14:paraId="483F134B">
      <w:pPr>
        <w:pStyle w:val="5"/>
        <w:spacing w:line="295" w:lineRule="auto"/>
        <w:outlineLvl w:val="9"/>
        <w:rPr>
          <w:rFonts w:hint="eastAsia" w:ascii="宋体" w:hAnsi="宋体" w:eastAsia="宋体" w:cs="宋体"/>
          <w:color w:val="auto"/>
        </w:rPr>
      </w:pPr>
    </w:p>
    <w:p w14:paraId="21C6BFD7">
      <w:pPr>
        <w:pStyle w:val="5"/>
        <w:spacing w:line="296" w:lineRule="auto"/>
        <w:outlineLvl w:val="9"/>
        <w:rPr>
          <w:rFonts w:hint="eastAsia" w:ascii="宋体" w:hAnsi="宋体" w:eastAsia="宋体" w:cs="宋体"/>
          <w:color w:val="auto"/>
        </w:rPr>
      </w:pPr>
    </w:p>
    <w:p w14:paraId="36CABC51">
      <w:pPr>
        <w:spacing w:before="79"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2"/>
          <w:sz w:val="24"/>
          <w:szCs w:val="24"/>
        </w:rPr>
        <w:t>（盖章</w:t>
      </w:r>
      <w:r>
        <w:rPr>
          <w:rFonts w:hint="eastAsia" w:ascii="宋体" w:hAnsi="宋体" w:eastAsia="宋体" w:cs="宋体"/>
          <w:color w:val="auto"/>
          <w:spacing w:val="1"/>
          <w:sz w:val="24"/>
          <w:szCs w:val="24"/>
        </w:rPr>
        <w:t>）</w:t>
      </w:r>
    </w:p>
    <w:p w14:paraId="3A23DF0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r>
        <w:rPr>
          <w:rFonts w:hint="eastAsia" w:ascii="宋体" w:hAnsi="宋体" w:eastAsia="宋体" w:cs="宋体"/>
          <w:color w:val="auto"/>
          <w:sz w:val="24"/>
          <w:szCs w:val="24"/>
          <w:lang w:val="en-US" w:eastAsia="zh-CN"/>
        </w:rPr>
        <w:t>并盖章</w:t>
      </w:r>
      <w:r>
        <w:rPr>
          <w:rFonts w:hint="eastAsia" w:ascii="宋体" w:hAnsi="宋体" w:eastAsia="宋体" w:cs="宋体"/>
          <w:color w:val="auto"/>
          <w:sz w:val="24"/>
          <w:szCs w:val="24"/>
        </w:rPr>
        <w:t>）：</w:t>
      </w:r>
    </w:p>
    <w:p w14:paraId="682DE1F7">
      <w:pPr>
        <w:spacing w:before="180" w:line="220" w:lineRule="auto"/>
        <w:ind w:left="480"/>
        <w:outlineLvl w:val="9"/>
        <w:rPr>
          <w:rFonts w:hint="eastAsia" w:ascii="宋体" w:hAnsi="宋体" w:eastAsia="宋体" w:cs="宋体"/>
          <w:color w:val="auto"/>
          <w:sz w:val="24"/>
          <w:szCs w:val="24"/>
        </w:rPr>
      </w:pPr>
      <w:bookmarkStart w:id="48" w:name="_Toc1282"/>
      <w:r>
        <w:rPr>
          <w:rFonts w:hint="eastAsia" w:ascii="宋体" w:hAnsi="宋体" w:eastAsia="宋体" w:cs="宋体"/>
          <w:color w:val="auto"/>
          <w:spacing w:val="-9"/>
          <w:sz w:val="24"/>
          <w:szCs w:val="24"/>
          <w:lang w:val="en-US" w:eastAsia="zh-CN"/>
        </w:rPr>
        <w:t xml:space="preserve">日期：    </w:t>
      </w:r>
      <w:r>
        <w:rPr>
          <w:rFonts w:hint="eastAsia" w:ascii="宋体" w:hAnsi="宋体" w:eastAsia="宋体" w:cs="宋体"/>
          <w:color w:val="auto"/>
          <w:spacing w:val="-9"/>
          <w:sz w:val="24"/>
          <w:szCs w:val="24"/>
        </w:rPr>
        <w:t>年</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bookmarkEnd w:id="48"/>
    </w:p>
    <w:p w14:paraId="623E35F2">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64EC07B">
      <w:pPr>
        <w:spacing w:before="48" w:line="220" w:lineRule="auto"/>
        <w:outlineLvl w:val="9"/>
        <w:rPr>
          <w:rFonts w:hint="eastAsia" w:ascii="宋体" w:hAnsi="宋体" w:eastAsia="宋体" w:cs="宋体"/>
          <w:color w:val="auto"/>
          <w:sz w:val="24"/>
          <w:szCs w:val="24"/>
        </w:rPr>
      </w:pPr>
      <w:bookmarkStart w:id="49" w:name="_Toc3086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格式六：</w:t>
      </w:r>
      <w:bookmarkEnd w:id="49"/>
    </w:p>
    <w:p w14:paraId="453CA433">
      <w:pPr>
        <w:spacing w:before="182" w:line="220" w:lineRule="auto"/>
        <w:ind w:left="2240"/>
        <w:outlineLvl w:val="9"/>
        <w:rPr>
          <w:rFonts w:hint="eastAsia" w:ascii="宋体" w:hAnsi="宋体" w:eastAsia="宋体" w:cs="宋体"/>
          <w:color w:val="auto"/>
          <w:sz w:val="24"/>
          <w:szCs w:val="24"/>
        </w:rPr>
      </w:pPr>
      <w:bookmarkStart w:id="50" w:name="_Toc30902"/>
      <w:r>
        <w:rPr>
          <w:rFonts w:hint="eastAsia" w:ascii="宋体" w:hAnsi="宋体" w:eastAsia="宋体" w:cs="宋体"/>
          <w:color w:val="auto"/>
          <w:sz w:val="24"/>
          <w:szCs w:val="24"/>
          <w14:textOutline w14:w="4358" w14:cap="sq" w14:cmpd="sng">
            <w14:solidFill>
              <w14:srgbClr w14:val="000000"/>
            </w14:solidFill>
            <w14:prstDash w14:val="solid"/>
            <w14:bevel/>
          </w14:textOutline>
        </w:rPr>
        <w:t>法定代表人（单位负责人）身份证明（格式）</w:t>
      </w:r>
      <w:bookmarkEnd w:id="50"/>
    </w:p>
    <w:p w14:paraId="381D7BE1">
      <w:pPr>
        <w:pStyle w:val="5"/>
        <w:spacing w:line="283" w:lineRule="auto"/>
        <w:outlineLvl w:val="9"/>
        <w:rPr>
          <w:rFonts w:hint="eastAsia" w:ascii="宋体" w:hAnsi="宋体" w:eastAsia="宋体" w:cs="宋体"/>
          <w:color w:val="auto"/>
        </w:rPr>
      </w:pPr>
    </w:p>
    <w:p w14:paraId="66E58CAE">
      <w:pPr>
        <w:pStyle w:val="5"/>
        <w:spacing w:line="283" w:lineRule="auto"/>
        <w:outlineLvl w:val="9"/>
        <w:rPr>
          <w:rFonts w:hint="eastAsia" w:ascii="宋体" w:hAnsi="宋体" w:eastAsia="宋体" w:cs="宋体"/>
          <w:color w:val="auto"/>
        </w:rPr>
      </w:pPr>
    </w:p>
    <w:p w14:paraId="34FA38AF">
      <w:pPr>
        <w:spacing w:before="78" w:line="219" w:lineRule="auto"/>
        <w:outlineLvl w:val="9"/>
        <w:rPr>
          <w:rFonts w:hint="eastAsia" w:ascii="宋体" w:hAnsi="宋体" w:eastAsia="宋体" w:cs="宋体"/>
          <w:color w:val="auto"/>
          <w:sz w:val="24"/>
          <w:szCs w:val="24"/>
        </w:rPr>
      </w:pPr>
      <w:bookmarkStart w:id="51" w:name="_Toc10707"/>
      <w:r>
        <w:rPr>
          <w:rFonts w:hint="eastAsia" w:ascii="宋体" w:hAnsi="宋体" w:eastAsia="宋体" w:cs="宋体"/>
          <w:color w:val="auto"/>
          <w:spacing w:val="2"/>
          <w:sz w:val="24"/>
          <w:szCs w:val="24"/>
        </w:rPr>
        <w:t>致</w:t>
      </w:r>
      <w:r>
        <w:rPr>
          <w:rFonts w:hint="eastAsia" w:ascii="宋体" w:hAnsi="宋体" w:eastAsia="宋体" w:cs="宋体"/>
          <w:color w:val="auto"/>
          <w:spacing w:val="-18"/>
          <w:sz w:val="24"/>
          <w:szCs w:val="24"/>
        </w:rPr>
        <w:t>：（</w:t>
      </w:r>
      <w:r>
        <w:rPr>
          <w:rFonts w:hint="eastAsia" w:ascii="宋体" w:hAnsi="宋体" w:eastAsia="宋体" w:cs="宋体"/>
          <w:color w:val="auto"/>
          <w:spacing w:val="2"/>
          <w:sz w:val="24"/>
          <w:szCs w:val="24"/>
        </w:rPr>
        <w:t>采购人或采购代理机构）</w:t>
      </w:r>
      <w:bookmarkEnd w:id="51"/>
    </w:p>
    <w:p w14:paraId="2237D887">
      <w:pPr>
        <w:spacing w:before="180" w:line="360" w:lineRule="auto"/>
        <w:ind w:firstLine="468"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兹证明，姓名：</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3"/>
          <w:sz w:val="24"/>
          <w:szCs w:val="24"/>
        </w:rPr>
        <w:t>性别：</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
          <w:sz w:val="24"/>
          <w:szCs w:val="24"/>
        </w:rPr>
        <w:t>年龄：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3"/>
          <w:sz w:val="24"/>
          <w:szCs w:val="24"/>
        </w:rPr>
        <w:t>职务：</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3"/>
          <w:sz w:val="24"/>
          <w:szCs w:val="24"/>
        </w:rPr>
        <w:t>系</w:t>
      </w:r>
      <w:r>
        <w:rPr>
          <w:rFonts w:hint="eastAsia" w:ascii="宋体" w:hAnsi="宋体" w:eastAsia="宋体" w:cs="宋体"/>
          <w:color w:val="auto"/>
          <w:spacing w:val="-3"/>
          <w:sz w:val="24"/>
          <w:szCs w:val="24"/>
          <w:u w:val="single"/>
        </w:rPr>
        <w:t>（投标人名称）</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color w:val="auto"/>
          <w:spacing w:val="-3"/>
          <w:sz w:val="24"/>
          <w:szCs w:val="24"/>
        </w:rPr>
        <w:t>的法定代表</w:t>
      </w:r>
      <w:r>
        <w:rPr>
          <w:rFonts w:hint="eastAsia" w:ascii="宋体" w:hAnsi="宋体" w:eastAsia="宋体" w:cs="宋体"/>
          <w:color w:val="auto"/>
          <w:spacing w:val="-2"/>
          <w:sz w:val="24"/>
          <w:szCs w:val="24"/>
        </w:rPr>
        <w:t>人（单位负责人）。</w:t>
      </w:r>
    </w:p>
    <w:p w14:paraId="3C098005">
      <w:pPr>
        <w:spacing w:before="182" w:line="219" w:lineRule="auto"/>
        <w:ind w:left="18"/>
        <w:outlineLvl w:val="9"/>
        <w:rPr>
          <w:rFonts w:hint="eastAsia" w:ascii="宋体" w:hAnsi="宋体" w:eastAsia="宋体" w:cs="宋体"/>
          <w:color w:val="auto"/>
          <w:sz w:val="24"/>
          <w:szCs w:val="24"/>
        </w:rPr>
      </w:pPr>
      <w:bookmarkStart w:id="52" w:name="_Toc31712"/>
      <w:r>
        <w:rPr>
          <w:rFonts w:hint="eastAsia" w:ascii="宋体" w:hAnsi="宋体" w:eastAsia="宋体" w:cs="宋体"/>
          <w:color w:val="auto"/>
          <w:spacing w:val="-1"/>
          <w:sz w:val="24"/>
          <w:szCs w:val="24"/>
        </w:rPr>
        <w:t>附：法定代表人（单位负责人）身份证、护照等身份证明文件电子件：</w:t>
      </w:r>
      <w:bookmarkEnd w:id="52"/>
    </w:p>
    <w:p w14:paraId="676716FB">
      <w:pPr>
        <w:pStyle w:val="5"/>
        <w:spacing w:line="283" w:lineRule="auto"/>
        <w:outlineLvl w:val="9"/>
        <w:rPr>
          <w:rFonts w:hint="eastAsia" w:ascii="宋体" w:hAnsi="宋体" w:eastAsia="宋体" w:cs="宋体"/>
          <w:color w:val="auto"/>
        </w:rPr>
      </w:pPr>
    </w:p>
    <w:p w14:paraId="3DC49CF0">
      <w:pPr>
        <w:pStyle w:val="5"/>
        <w:spacing w:line="284" w:lineRule="auto"/>
        <w:outlineLvl w:val="9"/>
        <w:rPr>
          <w:rFonts w:hint="eastAsia" w:ascii="宋体" w:hAnsi="宋体" w:eastAsia="宋体" w:cs="宋体"/>
          <w:color w:val="auto"/>
        </w:rPr>
      </w:pPr>
    </w:p>
    <w:p w14:paraId="2632215D">
      <w:pPr>
        <w:spacing w:before="78"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2"/>
          <w:sz w:val="24"/>
          <w:szCs w:val="24"/>
        </w:rPr>
        <w:t>（盖章</w:t>
      </w:r>
      <w:r>
        <w:rPr>
          <w:rFonts w:hint="eastAsia" w:ascii="宋体" w:hAnsi="宋体" w:eastAsia="宋体" w:cs="宋体"/>
          <w:color w:val="auto"/>
          <w:spacing w:val="1"/>
          <w:sz w:val="24"/>
          <w:szCs w:val="24"/>
        </w:rPr>
        <w:t>）</w:t>
      </w:r>
    </w:p>
    <w:p w14:paraId="0E1D8427">
      <w:pPr>
        <w:spacing w:before="180"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）（签字</w:t>
      </w:r>
      <w:r>
        <w:rPr>
          <w:rFonts w:hint="eastAsia" w:ascii="宋体" w:hAnsi="宋体" w:eastAsia="宋体" w:cs="宋体"/>
          <w:color w:val="auto"/>
          <w:spacing w:val="-7"/>
          <w:sz w:val="24"/>
          <w:szCs w:val="24"/>
          <w:lang w:val="en-US" w:eastAsia="zh-CN"/>
        </w:rPr>
        <w:t>并盖章</w:t>
      </w:r>
      <w:r>
        <w:rPr>
          <w:rFonts w:hint="eastAsia" w:ascii="宋体" w:hAnsi="宋体" w:eastAsia="宋体" w:cs="宋体"/>
          <w:color w:val="auto"/>
          <w:spacing w:val="-7"/>
          <w:sz w:val="24"/>
          <w:szCs w:val="24"/>
        </w:rPr>
        <w:t>）：</w:t>
      </w:r>
    </w:p>
    <w:p w14:paraId="1A981CF6">
      <w:pPr>
        <w:spacing w:before="181" w:line="220" w:lineRule="auto"/>
        <w:ind w:left="521"/>
        <w:outlineLvl w:val="9"/>
        <w:rPr>
          <w:rFonts w:hint="eastAsia" w:ascii="宋体" w:hAnsi="宋体" w:eastAsia="宋体" w:cs="宋体"/>
          <w:color w:val="auto"/>
          <w:sz w:val="24"/>
          <w:szCs w:val="24"/>
        </w:rPr>
      </w:pPr>
      <w:bookmarkStart w:id="53" w:name="_Toc9976"/>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bookmarkEnd w:id="53"/>
    </w:p>
    <w:p w14:paraId="609EE47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758451E">
      <w:pPr>
        <w:spacing w:before="48" w:line="220" w:lineRule="auto"/>
        <w:outlineLvl w:val="9"/>
        <w:rPr>
          <w:rFonts w:hint="eastAsia" w:ascii="宋体" w:hAnsi="宋体" w:eastAsia="宋体" w:cs="宋体"/>
          <w:color w:val="auto"/>
          <w:sz w:val="24"/>
          <w:szCs w:val="24"/>
        </w:rPr>
      </w:pPr>
      <w:bookmarkStart w:id="54" w:name="_Toc349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格式七：</w:t>
      </w:r>
      <w:bookmarkEnd w:id="54"/>
    </w:p>
    <w:p w14:paraId="51A2B9C3">
      <w:pPr>
        <w:spacing w:before="182" w:line="219" w:lineRule="auto"/>
        <w:ind w:left="356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授权委托书（格式）</w:t>
      </w:r>
    </w:p>
    <w:p w14:paraId="6B372AEE">
      <w:pPr>
        <w:pStyle w:val="5"/>
        <w:spacing w:line="284" w:lineRule="auto"/>
        <w:outlineLvl w:val="9"/>
        <w:rPr>
          <w:rFonts w:hint="eastAsia" w:ascii="宋体" w:hAnsi="宋体" w:eastAsia="宋体" w:cs="宋体"/>
          <w:color w:val="auto"/>
        </w:rPr>
      </w:pPr>
    </w:p>
    <w:p w14:paraId="1CACFE43">
      <w:pPr>
        <w:pStyle w:val="5"/>
        <w:spacing w:line="284" w:lineRule="auto"/>
        <w:outlineLvl w:val="9"/>
        <w:rPr>
          <w:rFonts w:hint="eastAsia" w:ascii="宋体" w:hAnsi="宋体" w:eastAsia="宋体" w:cs="宋体"/>
          <w:color w:val="auto"/>
        </w:rPr>
      </w:pPr>
    </w:p>
    <w:p w14:paraId="511507EC">
      <w:pPr>
        <w:spacing w:before="78" w:line="359" w:lineRule="auto"/>
        <w:ind w:right="21" w:firstLine="48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本人</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2"/>
          <w:sz w:val="24"/>
          <w:szCs w:val="24"/>
        </w:rPr>
        <w:t>（姓名）系</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
          <w:sz w:val="24"/>
          <w:szCs w:val="24"/>
        </w:rPr>
        <w:t>（投标人名称）的法定代表人（</w:t>
      </w:r>
      <w:r>
        <w:rPr>
          <w:rFonts w:hint="eastAsia" w:ascii="宋体" w:hAnsi="宋体" w:eastAsia="宋体" w:cs="宋体"/>
          <w:color w:val="auto"/>
          <w:spacing w:val="1"/>
          <w:sz w:val="24"/>
          <w:szCs w:val="24"/>
        </w:rPr>
        <w:t>单位负责人</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现委托</w:t>
      </w:r>
      <w:r>
        <w:rPr>
          <w:rFonts w:hint="eastAsia" w:ascii="宋体" w:hAnsi="宋体" w:eastAsia="宋体" w:cs="宋体"/>
          <w:color w:val="auto"/>
          <w:spacing w:val="-11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
          <w:sz w:val="24"/>
          <w:szCs w:val="24"/>
        </w:rPr>
        <w:t>（姓名）为我方代理人。代理人根据授权，以我方名义</w:t>
      </w:r>
      <w:r>
        <w:rPr>
          <w:rFonts w:hint="eastAsia" w:ascii="宋体" w:hAnsi="宋体" w:eastAsia="宋体" w:cs="宋体"/>
          <w:color w:val="auto"/>
          <w:sz w:val="24"/>
          <w:szCs w:val="24"/>
        </w:rPr>
        <w:t>签署、澄清</w:t>
      </w:r>
      <w:r>
        <w:rPr>
          <w:rFonts w:hint="eastAsia" w:ascii="宋体" w:hAnsi="宋体" w:eastAsia="宋体" w:cs="宋体"/>
          <w:color w:val="auto"/>
          <w:spacing w:val="-1"/>
          <w:sz w:val="24"/>
          <w:szCs w:val="24"/>
        </w:rPr>
        <w:t>确认、提交、撤回、修改</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（项目名称）投标文件和处理有关事宜，其法</w:t>
      </w:r>
    </w:p>
    <w:p w14:paraId="3BB581D0">
      <w:pPr>
        <w:spacing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律后果由我方承担。</w:t>
      </w:r>
    </w:p>
    <w:p w14:paraId="0CB2108D">
      <w:pPr>
        <w:spacing w:before="179" w:line="468"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委托期限：</w:t>
      </w:r>
      <w:r>
        <w:rPr>
          <w:rFonts w:hint="eastAsia" w:ascii="宋体" w:hAnsi="宋体" w:eastAsia="宋体" w:cs="宋体"/>
          <w:color w:val="auto"/>
          <w:spacing w:val="-72"/>
          <w:position w:val="17"/>
          <w:sz w:val="24"/>
          <w:szCs w:val="24"/>
        </w:rPr>
        <w:t xml:space="preserve"> </w:t>
      </w:r>
      <w:r>
        <w:rPr>
          <w:rFonts w:hint="eastAsia" w:ascii="宋体" w:hAnsi="宋体" w:eastAsia="宋体" w:cs="宋体"/>
          <w:color w:val="auto"/>
          <w:spacing w:val="-2"/>
          <w:position w:val="17"/>
          <w:sz w:val="24"/>
          <w:szCs w:val="24"/>
        </w:rPr>
        <w:t>自本授权委托书签署之日起至投标有效期届满之日止。</w:t>
      </w:r>
    </w:p>
    <w:p w14:paraId="14B8A6F7">
      <w:pPr>
        <w:spacing w:line="220"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14:paraId="572E0EAC">
      <w:pPr>
        <w:pStyle w:val="5"/>
        <w:spacing w:line="282" w:lineRule="auto"/>
        <w:outlineLvl w:val="9"/>
        <w:rPr>
          <w:rFonts w:hint="eastAsia" w:ascii="宋体" w:hAnsi="宋体" w:eastAsia="宋体" w:cs="宋体"/>
          <w:color w:val="auto"/>
        </w:rPr>
      </w:pPr>
    </w:p>
    <w:p w14:paraId="4EE1207A">
      <w:pPr>
        <w:pStyle w:val="5"/>
        <w:spacing w:line="282" w:lineRule="auto"/>
        <w:outlineLvl w:val="9"/>
        <w:rPr>
          <w:rFonts w:hint="eastAsia" w:ascii="宋体" w:hAnsi="宋体" w:eastAsia="宋体" w:cs="宋体"/>
          <w:color w:val="auto"/>
        </w:rPr>
      </w:pPr>
    </w:p>
    <w:p w14:paraId="76EBF819">
      <w:pPr>
        <w:spacing w:before="78"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
          <w:sz w:val="24"/>
          <w:szCs w:val="24"/>
        </w:rPr>
        <w:t>（加盖公章</w:t>
      </w:r>
      <w:r>
        <w:rPr>
          <w:rFonts w:hint="eastAsia" w:ascii="宋体" w:hAnsi="宋体" w:eastAsia="宋体" w:cs="宋体"/>
          <w:color w:val="auto"/>
          <w:spacing w:val="3"/>
          <w:sz w:val="24"/>
          <w:szCs w:val="24"/>
        </w:rPr>
        <w:t>）</w:t>
      </w:r>
    </w:p>
    <w:p w14:paraId="2513BCAC">
      <w:pPr>
        <w:spacing w:before="182" w:line="36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）（签字</w:t>
      </w:r>
      <w:r>
        <w:rPr>
          <w:rFonts w:hint="eastAsia" w:ascii="宋体" w:hAnsi="宋体" w:eastAsia="宋体" w:cs="宋体"/>
          <w:color w:val="auto"/>
          <w:spacing w:val="-7"/>
          <w:sz w:val="24"/>
          <w:szCs w:val="24"/>
          <w:lang w:val="en-US" w:eastAsia="zh-CN"/>
        </w:rPr>
        <w:t>并盖章</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p>
    <w:p w14:paraId="1834D9B3">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委托代理人（签字并盖章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 xml:space="preserve">                </w:t>
      </w:r>
    </w:p>
    <w:p w14:paraId="58FB3C08">
      <w:pPr>
        <w:spacing w:before="180" w:line="220" w:lineRule="auto"/>
        <w:ind w:left="42"/>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718752D1">
      <w:pPr>
        <w:spacing w:before="183" w:line="219" w:lineRule="auto"/>
        <w:ind w:left="1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附：法定代表人及委托代理人身份证明文件电子件：</w:t>
      </w:r>
    </w:p>
    <w:p w14:paraId="1890982D">
      <w:pPr>
        <w:pStyle w:val="5"/>
        <w:spacing w:line="257" w:lineRule="auto"/>
        <w:outlineLvl w:val="9"/>
        <w:rPr>
          <w:rFonts w:hint="eastAsia" w:ascii="宋体" w:hAnsi="宋体" w:eastAsia="宋体" w:cs="宋体"/>
          <w:color w:val="auto"/>
        </w:rPr>
      </w:pPr>
    </w:p>
    <w:p w14:paraId="5F0918F0">
      <w:pPr>
        <w:pStyle w:val="5"/>
        <w:spacing w:line="257" w:lineRule="auto"/>
        <w:outlineLvl w:val="9"/>
        <w:rPr>
          <w:rFonts w:hint="eastAsia" w:ascii="宋体" w:hAnsi="宋体" w:eastAsia="宋体" w:cs="宋体"/>
          <w:color w:val="auto"/>
        </w:rPr>
      </w:pPr>
    </w:p>
    <w:p w14:paraId="4A7E735D">
      <w:pPr>
        <w:pStyle w:val="5"/>
        <w:spacing w:line="257" w:lineRule="auto"/>
        <w:outlineLvl w:val="9"/>
        <w:rPr>
          <w:rFonts w:hint="eastAsia" w:ascii="宋体" w:hAnsi="宋体" w:eastAsia="宋体" w:cs="宋体"/>
          <w:color w:val="auto"/>
        </w:rPr>
      </w:pPr>
    </w:p>
    <w:p w14:paraId="413A0673">
      <w:pPr>
        <w:pStyle w:val="5"/>
        <w:spacing w:line="258" w:lineRule="auto"/>
        <w:outlineLvl w:val="9"/>
        <w:rPr>
          <w:rFonts w:hint="eastAsia" w:ascii="宋体" w:hAnsi="宋体" w:eastAsia="宋体" w:cs="宋体"/>
          <w:color w:val="auto"/>
        </w:rPr>
      </w:pPr>
    </w:p>
    <w:p w14:paraId="658A3D04">
      <w:pPr>
        <w:spacing w:before="78" w:line="220" w:lineRule="auto"/>
        <w:ind w:left="3"/>
        <w:outlineLvl w:val="9"/>
        <w:rPr>
          <w:rFonts w:hint="eastAsia" w:ascii="宋体" w:hAnsi="宋体" w:eastAsia="宋体" w:cs="宋体"/>
          <w:color w:val="auto"/>
          <w:sz w:val="24"/>
          <w:szCs w:val="24"/>
        </w:rPr>
      </w:pPr>
      <w:bookmarkStart w:id="55" w:name="_Toc32444"/>
      <w:r>
        <w:rPr>
          <w:rFonts w:hint="eastAsia" w:ascii="宋体" w:hAnsi="宋体" w:eastAsia="宋体" w:cs="宋体"/>
          <w:color w:val="auto"/>
          <w:spacing w:val="-5"/>
          <w:sz w:val="24"/>
          <w:szCs w:val="24"/>
        </w:rPr>
        <w:t>说明：</w:t>
      </w:r>
      <w:bookmarkEnd w:id="55"/>
    </w:p>
    <w:p w14:paraId="2D21524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1.若供应商为事业单位或其他组织或分支机构，则法定代表人（单位负责人）处的签署人可为单位负责人。</w:t>
      </w:r>
    </w:p>
    <w:p w14:paraId="4F145BD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若投标文件中签字之处均为法定代表人（单位负责人）本人签署，则可不提供本《授权委托书》，但须提供《法定代表人（单位负责人）身份证明》；否则，不需要提供《法定代表人（单位负责人）身份证明》。</w:t>
      </w:r>
    </w:p>
    <w:p w14:paraId="3036A54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3.供应商为自然人的情形，可不提供本《授权委托书》。</w:t>
      </w:r>
    </w:p>
    <w:p w14:paraId="4EEA673A">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4.供应商应随本《授权委托书》同时提供法定代表人（单位负责人）及委托代理人的有效的身份证、护照等身份证明文件电子件。提供身份证的，应同时提供身份证双面电子。</w:t>
      </w:r>
    </w:p>
    <w:p w14:paraId="13B42FBE">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B0F999B">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格式八：</w:t>
      </w:r>
    </w:p>
    <w:p w14:paraId="7627C3F4">
      <w:pPr>
        <w:spacing w:before="182" w:line="219" w:lineRule="auto"/>
        <w:ind w:left="322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中标服务费承诺书（格式）</w:t>
      </w:r>
    </w:p>
    <w:p w14:paraId="70B1A67F">
      <w:pPr>
        <w:pStyle w:val="5"/>
        <w:spacing w:line="250" w:lineRule="auto"/>
        <w:outlineLvl w:val="9"/>
        <w:rPr>
          <w:rFonts w:hint="eastAsia" w:ascii="宋体" w:hAnsi="宋体" w:eastAsia="宋体" w:cs="宋体"/>
          <w:color w:val="auto"/>
        </w:rPr>
      </w:pPr>
    </w:p>
    <w:p w14:paraId="1CFD5C76">
      <w:pPr>
        <w:pStyle w:val="5"/>
        <w:spacing w:line="250" w:lineRule="auto"/>
        <w:outlineLvl w:val="9"/>
        <w:rPr>
          <w:rFonts w:hint="eastAsia" w:ascii="宋体" w:hAnsi="宋体" w:eastAsia="宋体" w:cs="宋体"/>
          <w:color w:val="auto"/>
        </w:rPr>
      </w:pPr>
    </w:p>
    <w:p w14:paraId="4A719843">
      <w:pPr>
        <w:spacing w:before="78" w:line="220" w:lineRule="auto"/>
        <w:outlineLvl w:val="9"/>
        <w:rPr>
          <w:rFonts w:hint="eastAsia" w:ascii="宋体" w:hAnsi="宋体" w:eastAsia="宋体" w:cs="宋体"/>
          <w:color w:val="auto"/>
          <w:sz w:val="24"/>
          <w:szCs w:val="24"/>
          <w:highlight w:val="none"/>
        </w:rPr>
      </w:pPr>
      <w:bookmarkStart w:id="56" w:name="_Toc25943"/>
      <w:r>
        <w:rPr>
          <w:rFonts w:hint="eastAsia" w:ascii="宋体" w:hAnsi="宋体" w:eastAsia="宋体" w:cs="宋体"/>
          <w:color w:val="auto"/>
          <w:spacing w:val="-1"/>
          <w:sz w:val="24"/>
          <w:szCs w:val="24"/>
          <w:highlight w:val="none"/>
        </w:rPr>
        <w:t>致：吉林省吉诚工程咨询有限公司</w:t>
      </w:r>
      <w:bookmarkEnd w:id="56"/>
    </w:p>
    <w:p w14:paraId="284FBC0C">
      <w:pPr>
        <w:pStyle w:val="5"/>
        <w:spacing w:line="283" w:lineRule="auto"/>
        <w:outlineLvl w:val="9"/>
        <w:rPr>
          <w:rFonts w:hint="eastAsia" w:ascii="宋体" w:hAnsi="宋体" w:eastAsia="宋体" w:cs="宋体"/>
          <w:color w:val="auto"/>
        </w:rPr>
      </w:pPr>
    </w:p>
    <w:p w14:paraId="28242076">
      <w:pPr>
        <w:pStyle w:val="5"/>
        <w:spacing w:line="283" w:lineRule="auto"/>
        <w:outlineLvl w:val="9"/>
        <w:rPr>
          <w:rFonts w:hint="eastAsia" w:ascii="宋体" w:hAnsi="宋体" w:eastAsia="宋体" w:cs="宋体"/>
          <w:color w:val="auto"/>
        </w:rPr>
      </w:pPr>
    </w:p>
    <w:p w14:paraId="1E0152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我们在贵公司代理的项目采购中若获成交（项目编号：        ），我们保证在收到中标通知后 2 个工作日内按招标文件的规定，向贵公司即吉林省吉诚工程咨询有限公司按照取费规定一次性支付中标服务费。</w:t>
      </w:r>
    </w:p>
    <w:p w14:paraId="572EAF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4C21B851">
      <w:pPr>
        <w:pStyle w:val="5"/>
        <w:spacing w:line="283" w:lineRule="auto"/>
        <w:outlineLvl w:val="9"/>
        <w:rPr>
          <w:rFonts w:hint="eastAsia" w:ascii="宋体" w:hAnsi="宋体" w:eastAsia="宋体" w:cs="宋体"/>
          <w:color w:val="auto"/>
        </w:rPr>
      </w:pPr>
    </w:p>
    <w:p w14:paraId="6F9A1E6E">
      <w:pPr>
        <w:pStyle w:val="5"/>
        <w:spacing w:line="283" w:lineRule="auto"/>
        <w:outlineLvl w:val="9"/>
        <w:rPr>
          <w:rFonts w:hint="eastAsia" w:ascii="宋体" w:hAnsi="宋体" w:eastAsia="宋体" w:cs="宋体"/>
          <w:color w:val="auto"/>
        </w:rPr>
      </w:pPr>
    </w:p>
    <w:p w14:paraId="5F0460FB">
      <w:pPr>
        <w:spacing w:before="78" w:line="220" w:lineRule="auto"/>
        <w:outlineLvl w:val="9"/>
        <w:rPr>
          <w:rFonts w:hint="eastAsia" w:ascii="宋体" w:hAnsi="宋体" w:eastAsia="宋体" w:cs="宋体"/>
          <w:color w:val="auto"/>
          <w:sz w:val="24"/>
          <w:szCs w:val="24"/>
        </w:rPr>
      </w:pPr>
      <w:bookmarkStart w:id="57" w:name="_Toc18499"/>
      <w:r>
        <w:rPr>
          <w:rFonts w:hint="eastAsia" w:ascii="宋体" w:hAnsi="宋体" w:eastAsia="宋体" w:cs="宋体"/>
          <w:color w:val="auto"/>
          <w:spacing w:val="-2"/>
          <w:sz w:val="24"/>
          <w:szCs w:val="24"/>
        </w:rPr>
        <w:t>承诺方法定名称：</w:t>
      </w:r>
      <w:bookmarkEnd w:id="57"/>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单位</w:t>
      </w:r>
      <w:r>
        <w:rPr>
          <w:rFonts w:hint="eastAsia" w:ascii="宋体" w:hAnsi="宋体" w:eastAsia="宋体" w:cs="宋体"/>
          <w:color w:val="auto"/>
          <w:spacing w:val="1"/>
          <w:sz w:val="24"/>
          <w:szCs w:val="24"/>
        </w:rPr>
        <w:t>盖章）</w:t>
      </w:r>
    </w:p>
    <w:p w14:paraId="6D556D81">
      <w:pPr>
        <w:spacing w:before="181" w:line="229" w:lineRule="auto"/>
        <w:outlineLvl w:val="9"/>
        <w:rPr>
          <w:rFonts w:hint="eastAsia" w:ascii="宋体" w:hAnsi="宋体" w:eastAsia="宋体" w:cs="宋体"/>
          <w:color w:val="auto"/>
          <w:sz w:val="24"/>
          <w:szCs w:val="24"/>
        </w:rPr>
      </w:pPr>
      <w:bookmarkStart w:id="58" w:name="_Toc19959"/>
      <w:r>
        <w:rPr>
          <w:rFonts w:hint="eastAsia" w:ascii="宋体" w:hAnsi="宋体" w:eastAsia="宋体" w:cs="宋体"/>
          <w:color w:val="auto"/>
          <w:spacing w:val="-4"/>
          <w:sz w:val="24"/>
          <w:szCs w:val="24"/>
        </w:rPr>
        <w:t>地址：</w:t>
      </w:r>
      <w:bookmarkEnd w:id="58"/>
    </w:p>
    <w:p w14:paraId="226FF54D">
      <w:pPr>
        <w:spacing w:before="170" w:line="219" w:lineRule="auto"/>
        <w:ind w:left="28"/>
        <w:outlineLvl w:val="9"/>
        <w:rPr>
          <w:rFonts w:hint="eastAsia" w:ascii="宋体" w:hAnsi="宋体" w:eastAsia="宋体" w:cs="宋体"/>
          <w:color w:val="auto"/>
          <w:spacing w:val="-7"/>
          <w:sz w:val="24"/>
          <w:szCs w:val="24"/>
        </w:rPr>
      </w:pPr>
      <w:bookmarkStart w:id="59" w:name="_Toc6496"/>
      <w:r>
        <w:rPr>
          <w:rFonts w:hint="eastAsia" w:ascii="宋体" w:hAnsi="宋体" w:eastAsia="宋体" w:cs="宋体"/>
          <w:color w:val="auto"/>
          <w:spacing w:val="-7"/>
          <w:sz w:val="24"/>
          <w:szCs w:val="24"/>
        </w:rPr>
        <w:t>电话：</w:t>
      </w:r>
    </w:p>
    <w:bookmarkEnd w:id="59"/>
    <w:p w14:paraId="40398BF5">
      <w:pPr>
        <w:spacing w:before="181" w:line="219" w:lineRule="auto"/>
        <w:ind w:left="28"/>
        <w:outlineLvl w:val="9"/>
        <w:rPr>
          <w:rFonts w:hint="eastAsia" w:ascii="宋体" w:hAnsi="宋体" w:eastAsia="宋体" w:cs="宋体"/>
          <w:color w:val="auto"/>
          <w:sz w:val="24"/>
          <w:szCs w:val="24"/>
        </w:rPr>
      </w:pPr>
      <w:bookmarkStart w:id="60" w:name="_Toc10697"/>
      <w:r>
        <w:rPr>
          <w:rFonts w:hint="eastAsia" w:ascii="宋体" w:hAnsi="宋体" w:eastAsia="宋体" w:cs="宋体"/>
          <w:color w:val="auto"/>
          <w:spacing w:val="-7"/>
          <w:sz w:val="24"/>
          <w:szCs w:val="24"/>
        </w:rPr>
        <w:t>邮编：</w:t>
      </w:r>
      <w:bookmarkEnd w:id="60"/>
    </w:p>
    <w:p w14:paraId="379166B7">
      <w:pPr>
        <w:spacing w:before="182" w:line="360" w:lineRule="auto"/>
        <w:ind w:left="1"/>
        <w:outlineLvl w:val="9"/>
        <w:rPr>
          <w:rFonts w:hint="eastAsia" w:ascii="宋体" w:hAnsi="宋体" w:eastAsia="宋体" w:cs="宋体"/>
          <w:color w:val="auto"/>
          <w:sz w:val="24"/>
          <w:szCs w:val="24"/>
        </w:rPr>
      </w:pPr>
      <w:bookmarkStart w:id="61" w:name="_Toc18453"/>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7"/>
          <w:sz w:val="24"/>
          <w:szCs w:val="24"/>
          <w:lang w:val="en-US" w:eastAsia="zh-CN"/>
        </w:rPr>
        <w:t>或</w:t>
      </w:r>
      <w:r>
        <w:rPr>
          <w:rFonts w:hint="eastAsia" w:ascii="宋体" w:hAnsi="宋体" w:eastAsia="宋体" w:cs="宋体"/>
          <w:color w:val="auto"/>
          <w:spacing w:val="-7"/>
          <w:sz w:val="24"/>
          <w:szCs w:val="24"/>
        </w:rPr>
        <w:t>委托代理人（签字</w:t>
      </w:r>
      <w:r>
        <w:rPr>
          <w:rFonts w:hint="eastAsia" w:ascii="宋体" w:hAnsi="宋体" w:eastAsia="宋体" w:cs="宋体"/>
          <w:color w:val="auto"/>
          <w:spacing w:val="-7"/>
          <w:sz w:val="24"/>
          <w:szCs w:val="24"/>
          <w:lang w:val="en-US" w:eastAsia="zh-CN"/>
        </w:rPr>
        <w:t>并盖章</w:t>
      </w:r>
      <w:r>
        <w:rPr>
          <w:rFonts w:hint="eastAsia" w:ascii="宋体" w:hAnsi="宋体" w:eastAsia="宋体" w:cs="宋体"/>
          <w:color w:val="auto"/>
          <w:spacing w:val="-7"/>
          <w:sz w:val="24"/>
          <w:szCs w:val="24"/>
        </w:rPr>
        <w:t>）：</w:t>
      </w:r>
    </w:p>
    <w:bookmarkEnd w:id="61"/>
    <w:p w14:paraId="7894EEC6">
      <w:pPr>
        <w:spacing w:before="180" w:line="220" w:lineRule="auto"/>
        <w:outlineLvl w:val="9"/>
        <w:rPr>
          <w:rFonts w:hint="eastAsia" w:ascii="宋体" w:hAnsi="宋体" w:eastAsia="宋体" w:cs="宋体"/>
          <w:color w:val="auto"/>
          <w:sz w:val="24"/>
          <w:szCs w:val="24"/>
        </w:rPr>
      </w:pPr>
      <w:bookmarkStart w:id="62" w:name="_Toc18509"/>
      <w:r>
        <w:rPr>
          <w:rFonts w:hint="eastAsia" w:ascii="宋体" w:hAnsi="宋体" w:eastAsia="宋体" w:cs="宋体"/>
          <w:color w:val="auto"/>
          <w:spacing w:val="-2"/>
          <w:sz w:val="24"/>
          <w:szCs w:val="24"/>
        </w:rPr>
        <w:t>日期：</w:t>
      </w:r>
      <w:bookmarkEnd w:id="62"/>
    </w:p>
    <w:p w14:paraId="6399D26B">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7D07AFD">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格式九：</w:t>
      </w:r>
    </w:p>
    <w:p w14:paraId="0D2AE345">
      <w:pPr>
        <w:spacing w:before="182" w:line="219" w:lineRule="auto"/>
        <w:ind w:left="335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中小企业声明函（货物）</w:t>
      </w:r>
    </w:p>
    <w:p w14:paraId="5C8BF7D1">
      <w:pPr>
        <w:pStyle w:val="5"/>
        <w:spacing w:line="384" w:lineRule="auto"/>
        <w:outlineLvl w:val="9"/>
        <w:rPr>
          <w:rFonts w:hint="eastAsia" w:ascii="宋体" w:hAnsi="宋体" w:eastAsia="宋体" w:cs="宋体"/>
          <w:color w:val="auto"/>
        </w:rPr>
      </w:pPr>
    </w:p>
    <w:p w14:paraId="308794E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F9392C3">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10A5F04">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DEADC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654DC1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797E686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F9DD8E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8B1B14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2C00BB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1B2732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5C0C10A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9D729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299C671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10F698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40E8719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2.中标人享受中小企业扶持政策的，将随中标结果一并公示，如声明函内容不实的，将视为提供虚假材料谋取中标，将追究其法律责任。</w:t>
      </w:r>
    </w:p>
    <w:p w14:paraId="651A351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3.本项目所属行业：工业。</w:t>
      </w:r>
    </w:p>
    <w:p w14:paraId="30F904D8">
      <w:pPr>
        <w:spacing w:line="480" w:lineRule="auto"/>
        <w:rPr>
          <w:rFonts w:hint="eastAsia" w:ascii="宋体" w:hAnsi="宋体" w:cs="宋体"/>
          <w:color w:val="auto"/>
          <w:sz w:val="24"/>
          <w:highlight w:val="no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8A989B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63" w:name="_Toc7338700"/>
      <w:bookmarkStart w:id="64" w:name="_Toc511239410"/>
      <w:bookmarkStart w:id="65" w:name="_Toc511239255"/>
      <w:bookmarkStart w:id="66" w:name="_Toc14104574"/>
      <w:bookmarkStart w:id="67" w:name="_Toc14104092"/>
      <w:r>
        <w:rPr>
          <w:rFonts w:hint="eastAsia" w:ascii="宋体" w:hAnsi="宋体"/>
          <w:b/>
          <w:color w:val="auto"/>
          <w:sz w:val="24"/>
          <w:highlight w:val="none"/>
        </w:rPr>
        <w:t>节能产品清单说明表</w:t>
      </w:r>
      <w:bookmarkEnd w:id="63"/>
      <w:bookmarkEnd w:id="64"/>
      <w:bookmarkEnd w:id="65"/>
      <w:bookmarkEnd w:id="66"/>
      <w:bookmarkEnd w:id="67"/>
    </w:p>
    <w:p w14:paraId="2510DAA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color w:val="auto"/>
          <w:sz w:val="24"/>
          <w:highlight w:val="none"/>
        </w:rPr>
      </w:pPr>
      <w:bookmarkStart w:id="68" w:name="_Toc14104093"/>
      <w:bookmarkStart w:id="69" w:name="_Toc511239256"/>
      <w:bookmarkStart w:id="70" w:name="_Toc511239411"/>
      <w:bookmarkStart w:id="71" w:name="_Toc14104575"/>
      <w:bookmarkStart w:id="72" w:name="_Toc7338701"/>
      <w:r>
        <w:rPr>
          <w:rFonts w:hint="eastAsia" w:ascii="宋体" w:hAnsi="宋体"/>
          <w:color w:val="auto"/>
          <w:sz w:val="24"/>
          <w:highlight w:val="none"/>
        </w:rPr>
        <w:t>（</w:t>
      </w:r>
      <w:r>
        <w:rPr>
          <w:rFonts w:hint="eastAsia" w:ascii="宋体" w:hAnsi="宋体" w:cs="宋体"/>
          <w:color w:val="auto"/>
          <w:sz w:val="24"/>
          <w:highlight w:val="none"/>
        </w:rPr>
        <w:t>节能产品</w:t>
      </w:r>
      <w:r>
        <w:rPr>
          <w:rFonts w:hint="eastAsia" w:ascii="宋体" w:hAnsi="宋体"/>
          <w:color w:val="auto"/>
          <w:sz w:val="24"/>
          <w:highlight w:val="none"/>
        </w:rPr>
        <w:t>按下列格式提供）</w:t>
      </w:r>
      <w:bookmarkEnd w:id="68"/>
      <w:bookmarkEnd w:id="69"/>
      <w:bookmarkEnd w:id="70"/>
      <w:bookmarkEnd w:id="71"/>
      <w:bookmarkEnd w:id="72"/>
    </w:p>
    <w:p w14:paraId="30F36991">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u w:val="single"/>
        </w:rPr>
        <w:t xml:space="preserve">                       </w:t>
      </w:r>
    </w:p>
    <w:p w14:paraId="1C5DD47F">
      <w:pPr>
        <w:snapToGrid w:val="0"/>
        <w:spacing w:line="300" w:lineRule="auto"/>
        <w:rPr>
          <w:rFonts w:hint="eastAsia" w:ascii="宋体" w:hAnsi="宋体"/>
          <w:bCs/>
          <w:color w:val="auto"/>
          <w:sz w:val="24"/>
          <w:highlight w:val="none"/>
        </w:rPr>
      </w:pPr>
      <w:r>
        <w:rPr>
          <w:rFonts w:hint="eastAsia" w:ascii="宋体" w:hAnsi="宋体"/>
          <w:color w:val="auto"/>
          <w:sz w:val="24"/>
          <w:highlight w:val="none"/>
        </w:rPr>
        <w:t>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tbl>
      <w:tblPr>
        <w:tblStyle w:val="12"/>
        <w:tblpPr w:leftFromText="180" w:rightFromText="180" w:vertAnchor="text" w:horzAnchor="page" w:tblpXSpec="center" w:tblpY="91"/>
        <w:tblOverlap w:val="never"/>
        <w:tblW w:w="95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68096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764" w:type="dxa"/>
            <w:vMerge w:val="restart"/>
            <w:noWrap w:val="0"/>
            <w:vAlign w:val="center"/>
          </w:tcPr>
          <w:p w14:paraId="43D28838">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noWrap w:val="0"/>
            <w:vAlign w:val="center"/>
          </w:tcPr>
          <w:p w14:paraId="0AE917C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noWrap w:val="0"/>
            <w:vAlign w:val="center"/>
          </w:tcPr>
          <w:p w14:paraId="76716981">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noWrap w:val="0"/>
            <w:vAlign w:val="center"/>
          </w:tcPr>
          <w:p w14:paraId="781864B3">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节能产品政府采购清单</w:t>
            </w:r>
          </w:p>
        </w:tc>
      </w:tr>
      <w:tr w14:paraId="681D0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jc w:val="center"/>
        </w:trPr>
        <w:tc>
          <w:tcPr>
            <w:tcW w:w="764" w:type="dxa"/>
            <w:vMerge w:val="continue"/>
            <w:noWrap w:val="0"/>
            <w:vAlign w:val="center"/>
          </w:tcPr>
          <w:p w14:paraId="4F66C9E9">
            <w:pPr>
              <w:snapToGrid w:val="0"/>
              <w:spacing w:line="300" w:lineRule="auto"/>
              <w:rPr>
                <w:rFonts w:hint="eastAsia" w:ascii="宋体" w:hAnsi="宋体" w:eastAsia="宋体" w:cs="宋体"/>
                <w:color w:val="auto"/>
                <w:sz w:val="24"/>
                <w:szCs w:val="24"/>
                <w:highlight w:val="none"/>
              </w:rPr>
            </w:pPr>
          </w:p>
        </w:tc>
        <w:tc>
          <w:tcPr>
            <w:tcW w:w="1061" w:type="dxa"/>
            <w:vMerge w:val="continue"/>
            <w:noWrap w:val="0"/>
            <w:vAlign w:val="center"/>
          </w:tcPr>
          <w:p w14:paraId="4C36E344">
            <w:pPr>
              <w:snapToGrid w:val="0"/>
              <w:spacing w:line="300" w:lineRule="auto"/>
              <w:rPr>
                <w:rFonts w:hint="eastAsia" w:ascii="宋体" w:hAnsi="宋体" w:eastAsia="宋体" w:cs="宋体"/>
                <w:color w:val="auto"/>
                <w:sz w:val="24"/>
                <w:szCs w:val="24"/>
                <w:highlight w:val="none"/>
              </w:rPr>
            </w:pPr>
          </w:p>
        </w:tc>
        <w:tc>
          <w:tcPr>
            <w:tcW w:w="1263" w:type="dxa"/>
            <w:vMerge w:val="continue"/>
            <w:noWrap w:val="0"/>
            <w:vAlign w:val="center"/>
          </w:tcPr>
          <w:p w14:paraId="6F7C835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55C05CF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noWrap w:val="0"/>
            <w:vAlign w:val="center"/>
          </w:tcPr>
          <w:p w14:paraId="6493B20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noWrap w:val="0"/>
            <w:vAlign w:val="center"/>
          </w:tcPr>
          <w:p w14:paraId="5BD5C5F2">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noWrap w:val="0"/>
            <w:vAlign w:val="center"/>
          </w:tcPr>
          <w:p w14:paraId="0FFF0F6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5F8AB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764" w:type="dxa"/>
            <w:noWrap w:val="0"/>
            <w:vAlign w:val="center"/>
          </w:tcPr>
          <w:p w14:paraId="6B5A0F25">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noWrap w:val="0"/>
            <w:vAlign w:val="center"/>
          </w:tcPr>
          <w:p w14:paraId="77BA2DD3">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678EDD1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0A3CCB1">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1863CE8">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7022A53">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75181AB7">
            <w:pPr>
              <w:snapToGrid w:val="0"/>
              <w:spacing w:line="300" w:lineRule="auto"/>
              <w:rPr>
                <w:rFonts w:hint="eastAsia" w:ascii="宋体" w:hAnsi="宋体" w:eastAsia="宋体" w:cs="宋体"/>
                <w:color w:val="auto"/>
                <w:sz w:val="24"/>
                <w:szCs w:val="24"/>
                <w:highlight w:val="none"/>
              </w:rPr>
            </w:pPr>
          </w:p>
        </w:tc>
      </w:tr>
      <w:tr w14:paraId="20694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3AA2919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noWrap w:val="0"/>
            <w:vAlign w:val="center"/>
          </w:tcPr>
          <w:p w14:paraId="6A1434DC">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2B7E1DD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7F4CD1C">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29608314">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305CE48F">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4ADCB81">
            <w:pPr>
              <w:snapToGrid w:val="0"/>
              <w:spacing w:line="300" w:lineRule="auto"/>
              <w:rPr>
                <w:rFonts w:hint="eastAsia" w:ascii="宋体" w:hAnsi="宋体" w:eastAsia="宋体" w:cs="宋体"/>
                <w:color w:val="auto"/>
                <w:sz w:val="24"/>
                <w:szCs w:val="24"/>
                <w:highlight w:val="none"/>
              </w:rPr>
            </w:pPr>
          </w:p>
        </w:tc>
      </w:tr>
      <w:tr w14:paraId="5E181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4C147D5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noWrap w:val="0"/>
            <w:vAlign w:val="center"/>
          </w:tcPr>
          <w:p w14:paraId="3061A3EF">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5E76187A">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608A72D">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242018DF">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5D2BC656">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49CDF859">
            <w:pPr>
              <w:snapToGrid w:val="0"/>
              <w:spacing w:line="300" w:lineRule="auto"/>
              <w:rPr>
                <w:rFonts w:hint="eastAsia" w:ascii="宋体" w:hAnsi="宋体" w:eastAsia="宋体" w:cs="宋体"/>
                <w:color w:val="auto"/>
                <w:sz w:val="24"/>
                <w:szCs w:val="24"/>
                <w:highlight w:val="none"/>
              </w:rPr>
            </w:pPr>
          </w:p>
        </w:tc>
      </w:tr>
      <w:tr w14:paraId="14110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C4C2F2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noWrap w:val="0"/>
            <w:vAlign w:val="center"/>
          </w:tcPr>
          <w:p w14:paraId="1999B14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7468D73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C8C509A">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76E961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DEEF093">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2051575">
            <w:pPr>
              <w:snapToGrid w:val="0"/>
              <w:spacing w:line="300" w:lineRule="auto"/>
              <w:rPr>
                <w:rFonts w:hint="eastAsia" w:ascii="宋体" w:hAnsi="宋体" w:eastAsia="宋体" w:cs="宋体"/>
                <w:color w:val="auto"/>
                <w:sz w:val="24"/>
                <w:szCs w:val="24"/>
                <w:highlight w:val="none"/>
              </w:rPr>
            </w:pPr>
          </w:p>
        </w:tc>
      </w:tr>
      <w:tr w14:paraId="4AD890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B95A67C">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noWrap w:val="0"/>
            <w:vAlign w:val="center"/>
          </w:tcPr>
          <w:p w14:paraId="1F445311">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5B1F0A9">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4EDA2FF">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B3C6AB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2E1678E">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6ACE6D9">
            <w:pPr>
              <w:snapToGrid w:val="0"/>
              <w:spacing w:line="300" w:lineRule="auto"/>
              <w:rPr>
                <w:rFonts w:hint="eastAsia" w:ascii="宋体" w:hAnsi="宋体" w:eastAsia="宋体" w:cs="宋体"/>
                <w:color w:val="auto"/>
                <w:sz w:val="24"/>
                <w:szCs w:val="24"/>
                <w:highlight w:val="none"/>
              </w:rPr>
            </w:pPr>
          </w:p>
        </w:tc>
      </w:tr>
      <w:tr w14:paraId="54D52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jc w:val="center"/>
        </w:trPr>
        <w:tc>
          <w:tcPr>
            <w:tcW w:w="764" w:type="dxa"/>
            <w:noWrap w:val="0"/>
            <w:vAlign w:val="center"/>
          </w:tcPr>
          <w:p w14:paraId="57AA3C8B">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noWrap w:val="0"/>
            <w:vAlign w:val="center"/>
          </w:tcPr>
          <w:p w14:paraId="3E42C8A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4EFEB930">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BC09414">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4C883433">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B49DA19">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DE7EE39">
            <w:pPr>
              <w:snapToGrid w:val="0"/>
              <w:spacing w:line="300" w:lineRule="auto"/>
              <w:rPr>
                <w:rFonts w:hint="eastAsia" w:ascii="宋体" w:hAnsi="宋体" w:eastAsia="宋体" w:cs="宋体"/>
                <w:color w:val="auto"/>
                <w:sz w:val="24"/>
                <w:szCs w:val="24"/>
                <w:highlight w:val="none"/>
              </w:rPr>
            </w:pPr>
          </w:p>
        </w:tc>
      </w:tr>
    </w:tbl>
    <w:p w14:paraId="5E581875">
      <w:pPr>
        <w:pStyle w:val="6"/>
        <w:ind w:left="0" w:leftChars="0" w:firstLine="0" w:firstLineChars="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注：1、上述“节能产品政府采购清单”以相关职能部门正式发布的最新一期为准。</w:t>
      </w:r>
    </w:p>
    <w:p w14:paraId="3E685319">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2、采购项目分包的，本表应按报价包号填写。</w:t>
      </w:r>
    </w:p>
    <w:p w14:paraId="1EBD517C">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3、后附认证证书复印件加盖</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公章。</w:t>
      </w:r>
    </w:p>
    <w:p w14:paraId="4B4D1E03">
      <w:pPr>
        <w:spacing w:line="480" w:lineRule="auto"/>
        <w:jc w:val="center"/>
        <w:rPr>
          <w:rFonts w:hint="eastAsia" w:ascii="宋体" w:hAnsi="宋体" w:cs="宋体"/>
          <w:color w:val="auto"/>
          <w:sz w:val="24"/>
          <w:highlight w:val="none"/>
        </w:rPr>
      </w:pPr>
    </w:p>
    <w:p w14:paraId="73DD67BA">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（盖单位公章）</w:t>
      </w:r>
    </w:p>
    <w:p w14:paraId="27F5F46F">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法定代表人（单位负责人）</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并盖章</w:t>
      </w:r>
      <w:r>
        <w:rPr>
          <w:rFonts w:hint="eastAsia" w:ascii="宋体" w:hAnsi="宋体" w:cs="宋体"/>
          <w:color w:val="auto"/>
          <w:sz w:val="24"/>
          <w:highlight w:val="none"/>
        </w:rPr>
        <w:t>）</w:t>
      </w:r>
    </w:p>
    <w:p w14:paraId="1E459EBB">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日期：</w:t>
      </w:r>
      <w:r>
        <w:rPr>
          <w:rFonts w:hint="eastAsia" w:ascii="宋体" w:hAnsi="宋体" w:cs="宋体"/>
          <w:color w:val="auto"/>
          <w:sz w:val="24"/>
          <w:highlight w:val="none"/>
        </w:rPr>
        <w:t xml:space="preserve">      年     月     日</w:t>
      </w:r>
    </w:p>
    <w:p w14:paraId="33CAB4A0">
      <w:pPr>
        <w:spacing w:line="480" w:lineRule="auto"/>
        <w:rPr>
          <w:rFonts w:hint="eastAsia" w:ascii="宋体" w:hAnsi="宋体" w:cs="宋体"/>
          <w:color w:val="auto"/>
          <w:sz w:val="24"/>
          <w:highlight w:val="none"/>
        </w:rPr>
      </w:pPr>
      <w:r>
        <w:rPr>
          <w:rFonts w:ascii="宋体" w:hAnsi="宋体" w:cs="宋体"/>
          <w:color w:val="auto"/>
          <w:sz w:val="24"/>
          <w:highlight w:val="none"/>
        </w:rPr>
        <w:br w:type="page"/>
      </w:r>
    </w:p>
    <w:p w14:paraId="1E90741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73" w:name="_Toc7338702"/>
      <w:bookmarkStart w:id="74" w:name="_Toc511239412"/>
      <w:bookmarkStart w:id="75" w:name="_Toc14104094"/>
      <w:bookmarkStart w:id="76" w:name="_Toc14104576"/>
      <w:bookmarkStart w:id="77" w:name="_Toc511239257"/>
      <w:r>
        <w:rPr>
          <w:rFonts w:hint="eastAsia" w:ascii="宋体" w:hAnsi="宋体"/>
          <w:b/>
          <w:color w:val="auto"/>
          <w:sz w:val="24"/>
          <w:highlight w:val="none"/>
        </w:rPr>
        <w:t>环境标志产品清单说明表</w:t>
      </w:r>
      <w:bookmarkEnd w:id="73"/>
      <w:bookmarkEnd w:id="74"/>
      <w:bookmarkEnd w:id="75"/>
      <w:bookmarkEnd w:id="76"/>
      <w:bookmarkEnd w:id="77"/>
    </w:p>
    <w:p w14:paraId="18CC12A6">
      <w:pPr>
        <w:snapToGrid w:val="0"/>
        <w:spacing w:line="300" w:lineRule="auto"/>
        <w:jc w:val="center"/>
        <w:rPr>
          <w:rFonts w:hint="eastAsia" w:ascii="宋体" w:hAnsi="宋体"/>
          <w:color w:val="auto"/>
          <w:sz w:val="24"/>
          <w:highlight w:val="none"/>
        </w:rPr>
      </w:pPr>
      <w:r>
        <w:rPr>
          <w:rFonts w:hint="eastAsia" w:ascii="宋体" w:hAnsi="宋体"/>
          <w:color w:val="auto"/>
          <w:sz w:val="24"/>
          <w:highlight w:val="none"/>
        </w:rPr>
        <w:t>（环境标志产品按下列格式提供）</w:t>
      </w:r>
    </w:p>
    <w:p w14:paraId="52AD0586">
      <w:pPr>
        <w:snapToGrid w:val="0"/>
        <w:spacing w:line="300" w:lineRule="auto"/>
        <w:rPr>
          <w:rFonts w:hint="eastAsia" w:ascii="宋体" w:hAnsi="宋体"/>
          <w:color w:val="auto"/>
          <w:sz w:val="24"/>
          <w:highlight w:val="none"/>
        </w:rPr>
      </w:pPr>
    </w:p>
    <w:p w14:paraId="0CD7682B">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6797C8EF">
      <w:pPr>
        <w:snapToGrid w:val="0"/>
        <w:spacing w:line="300" w:lineRule="auto"/>
        <w:rPr>
          <w:rFonts w:hint="eastAsia" w:ascii="宋体" w:hAnsi="宋体"/>
          <w:i/>
          <w:iCs/>
          <w:color w:val="auto"/>
          <w:sz w:val="24"/>
          <w:highlight w:val="non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p w14:paraId="0DC3B5B1">
      <w:pPr>
        <w:rPr>
          <w:rFonts w:hint="eastAsia" w:ascii="宋体" w:hAnsi="宋体"/>
          <w:color w:val="auto"/>
          <w:szCs w:val="21"/>
          <w:highlight w:val="none"/>
        </w:rPr>
      </w:pPr>
    </w:p>
    <w:tbl>
      <w:tblPr>
        <w:tblStyle w:val="12"/>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3B8E6B0D">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noWrap w:val="0"/>
            <w:vAlign w:val="center"/>
          </w:tcPr>
          <w:p w14:paraId="5B4958D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90" w:type="dxa"/>
            <w:vMerge w:val="restart"/>
            <w:tcBorders>
              <w:top w:val="single" w:color="auto" w:sz="8" w:space="0"/>
              <w:left w:val="single" w:color="auto" w:sz="8" w:space="0"/>
              <w:bottom w:val="single" w:color="auto" w:sz="8" w:space="0"/>
              <w:right w:val="single" w:color="auto" w:sz="8" w:space="0"/>
            </w:tcBorders>
            <w:noWrap w:val="0"/>
            <w:vAlign w:val="center"/>
          </w:tcPr>
          <w:p w14:paraId="78EE4D7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076" w:type="dxa"/>
            <w:vMerge w:val="restart"/>
            <w:tcBorders>
              <w:top w:val="single" w:color="auto" w:sz="8" w:space="0"/>
              <w:left w:val="single" w:color="auto" w:sz="8" w:space="0"/>
              <w:bottom w:val="single" w:color="auto" w:sz="8" w:space="0"/>
              <w:right w:val="single" w:color="auto" w:sz="8" w:space="0"/>
            </w:tcBorders>
            <w:noWrap w:val="0"/>
            <w:vAlign w:val="center"/>
          </w:tcPr>
          <w:p w14:paraId="2B248AA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105" w:type="dxa"/>
            <w:gridSpan w:val="4"/>
            <w:tcBorders>
              <w:top w:val="single" w:color="auto" w:sz="8" w:space="0"/>
              <w:left w:val="single" w:color="auto" w:sz="8" w:space="0"/>
              <w:bottom w:val="single" w:color="auto" w:sz="8" w:space="0"/>
              <w:right w:val="single" w:color="auto" w:sz="8" w:space="0"/>
            </w:tcBorders>
            <w:noWrap w:val="0"/>
            <w:vAlign w:val="center"/>
          </w:tcPr>
          <w:p w14:paraId="75E7E0A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环境标志产品政府采购清单</w:t>
            </w:r>
          </w:p>
        </w:tc>
      </w:tr>
      <w:tr w14:paraId="23E168F1">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noWrap w:val="0"/>
            <w:vAlign w:val="center"/>
          </w:tcPr>
          <w:p w14:paraId="5764DA86">
            <w:pPr>
              <w:bidi w:val="0"/>
              <w:jc w:val="center"/>
              <w:rPr>
                <w:rFonts w:hint="eastAsia" w:ascii="宋体" w:hAnsi="宋体" w:eastAsia="宋体" w:cs="宋体"/>
                <w:color w:val="auto"/>
                <w:sz w:val="24"/>
                <w:szCs w:val="24"/>
              </w:rPr>
            </w:pPr>
          </w:p>
        </w:tc>
        <w:tc>
          <w:tcPr>
            <w:tcW w:w="1090" w:type="dxa"/>
            <w:vMerge w:val="continue"/>
            <w:tcBorders>
              <w:top w:val="single" w:color="auto" w:sz="8" w:space="0"/>
              <w:left w:val="single" w:color="auto" w:sz="8" w:space="0"/>
              <w:bottom w:val="single" w:color="auto" w:sz="8" w:space="0"/>
              <w:right w:val="single" w:color="auto" w:sz="8" w:space="0"/>
            </w:tcBorders>
            <w:noWrap w:val="0"/>
            <w:vAlign w:val="center"/>
          </w:tcPr>
          <w:p w14:paraId="1C6335C3">
            <w:pPr>
              <w:bidi w:val="0"/>
              <w:jc w:val="center"/>
              <w:rPr>
                <w:rFonts w:hint="eastAsia" w:ascii="宋体" w:hAnsi="宋体" w:eastAsia="宋体" w:cs="宋体"/>
                <w:color w:val="auto"/>
                <w:sz w:val="24"/>
                <w:szCs w:val="24"/>
              </w:rPr>
            </w:pPr>
          </w:p>
        </w:tc>
        <w:tc>
          <w:tcPr>
            <w:tcW w:w="1076" w:type="dxa"/>
            <w:vMerge w:val="continue"/>
            <w:tcBorders>
              <w:top w:val="single" w:color="auto" w:sz="8" w:space="0"/>
              <w:left w:val="single" w:color="auto" w:sz="8" w:space="0"/>
              <w:bottom w:val="single" w:color="auto" w:sz="8" w:space="0"/>
              <w:right w:val="single" w:color="auto" w:sz="8" w:space="0"/>
            </w:tcBorders>
            <w:noWrap w:val="0"/>
            <w:vAlign w:val="center"/>
          </w:tcPr>
          <w:p w14:paraId="5EC3E9E5">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2C2FD91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已取得证书日期</w:t>
            </w: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CEE0B0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清单型号</w:t>
            </w:r>
          </w:p>
        </w:tc>
        <w:tc>
          <w:tcPr>
            <w:tcW w:w="1417" w:type="dxa"/>
            <w:tcBorders>
              <w:top w:val="single" w:color="auto" w:sz="8" w:space="0"/>
              <w:left w:val="single" w:color="auto" w:sz="8" w:space="0"/>
              <w:bottom w:val="single" w:color="auto" w:sz="8" w:space="0"/>
              <w:right w:val="single" w:color="auto" w:sz="8" w:space="0"/>
            </w:tcBorders>
            <w:noWrap w:val="0"/>
            <w:vAlign w:val="center"/>
          </w:tcPr>
          <w:p w14:paraId="58A64B4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653" w:type="dxa"/>
            <w:tcBorders>
              <w:top w:val="single" w:color="auto" w:sz="8" w:space="0"/>
              <w:left w:val="single" w:color="auto" w:sz="8" w:space="0"/>
              <w:bottom w:val="single" w:color="auto" w:sz="8" w:space="0"/>
              <w:right w:val="single" w:color="auto" w:sz="8" w:space="0"/>
            </w:tcBorders>
            <w:noWrap w:val="0"/>
            <w:vAlign w:val="center"/>
          </w:tcPr>
          <w:p w14:paraId="53B214A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发证机构</w:t>
            </w:r>
          </w:p>
        </w:tc>
      </w:tr>
      <w:tr w14:paraId="6BF16135">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DB814C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44BCCA54">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AE1179A">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ED8DBC7">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B7949F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404A253E">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5476E606">
            <w:pPr>
              <w:bidi w:val="0"/>
              <w:jc w:val="center"/>
              <w:rPr>
                <w:rFonts w:hint="eastAsia" w:ascii="宋体" w:hAnsi="宋体" w:eastAsia="宋体" w:cs="宋体"/>
                <w:color w:val="auto"/>
                <w:sz w:val="24"/>
                <w:szCs w:val="24"/>
              </w:rPr>
            </w:pPr>
          </w:p>
        </w:tc>
      </w:tr>
      <w:tr w14:paraId="48B4D536">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3038AB8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349EE86">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7DCBD54F">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39FE4ADB">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3E1CD61">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9029B83">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05C100C0">
            <w:pPr>
              <w:bidi w:val="0"/>
              <w:jc w:val="center"/>
              <w:rPr>
                <w:rFonts w:hint="eastAsia" w:ascii="宋体" w:hAnsi="宋体" w:eastAsia="宋体" w:cs="宋体"/>
                <w:color w:val="auto"/>
                <w:sz w:val="24"/>
                <w:szCs w:val="24"/>
              </w:rPr>
            </w:pPr>
          </w:p>
        </w:tc>
      </w:tr>
      <w:tr w14:paraId="7AC9A9E0">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00DC34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630FAD85">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B7F9651">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C434FD0">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1FE880B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02764926">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C9355FE">
            <w:pPr>
              <w:bidi w:val="0"/>
              <w:jc w:val="center"/>
              <w:rPr>
                <w:rFonts w:hint="eastAsia" w:ascii="宋体" w:hAnsi="宋体" w:eastAsia="宋体" w:cs="宋体"/>
                <w:color w:val="auto"/>
                <w:sz w:val="24"/>
                <w:szCs w:val="24"/>
              </w:rPr>
            </w:pPr>
          </w:p>
        </w:tc>
      </w:tr>
      <w:tr w14:paraId="4727F04C">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3AEADE0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3EADAD0D">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9710227">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14996462">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644CB4A">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0654186">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41306454">
            <w:pPr>
              <w:bidi w:val="0"/>
              <w:jc w:val="center"/>
              <w:rPr>
                <w:rFonts w:hint="eastAsia" w:ascii="宋体" w:hAnsi="宋体" w:eastAsia="宋体" w:cs="宋体"/>
                <w:color w:val="auto"/>
                <w:sz w:val="24"/>
                <w:szCs w:val="24"/>
              </w:rPr>
            </w:pPr>
          </w:p>
        </w:tc>
      </w:tr>
      <w:tr w14:paraId="55E1E467">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08EEAE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A35266E">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4C821A2">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884C83F">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41430F9">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BBF78C1">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131AD27F">
            <w:pPr>
              <w:bidi w:val="0"/>
              <w:jc w:val="center"/>
              <w:rPr>
                <w:rFonts w:hint="eastAsia" w:ascii="宋体" w:hAnsi="宋体" w:eastAsia="宋体" w:cs="宋体"/>
                <w:color w:val="auto"/>
                <w:sz w:val="24"/>
                <w:szCs w:val="24"/>
              </w:rPr>
            </w:pPr>
          </w:p>
        </w:tc>
      </w:tr>
      <w:tr w14:paraId="35D2DD96">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4D6F16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72CEE981">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A9009B2">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310CB254">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C9FD9BE">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6067252">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7B14BFFF">
            <w:pPr>
              <w:bidi w:val="0"/>
              <w:jc w:val="center"/>
              <w:rPr>
                <w:rFonts w:hint="eastAsia" w:ascii="宋体" w:hAnsi="宋体" w:eastAsia="宋体" w:cs="宋体"/>
                <w:color w:val="auto"/>
                <w:sz w:val="24"/>
                <w:szCs w:val="24"/>
              </w:rPr>
            </w:pPr>
          </w:p>
        </w:tc>
      </w:tr>
    </w:tbl>
    <w:p w14:paraId="37A02680">
      <w:pPr>
        <w:spacing w:line="300" w:lineRule="exact"/>
        <w:jc w:val="center"/>
        <w:rPr>
          <w:rFonts w:hint="eastAsia" w:ascii="宋体" w:hAnsi="宋体"/>
          <w:color w:val="auto"/>
          <w:szCs w:val="21"/>
          <w:highlight w:val="none"/>
        </w:rPr>
      </w:pPr>
    </w:p>
    <w:p w14:paraId="69681433">
      <w:pPr>
        <w:rPr>
          <w:rFonts w:hint="eastAsia" w:ascii="宋体" w:hAnsi="宋体"/>
          <w:color w:val="auto"/>
          <w:sz w:val="24"/>
          <w:highlight w:val="none"/>
        </w:rPr>
      </w:pPr>
      <w:r>
        <w:rPr>
          <w:rFonts w:hint="eastAsia" w:ascii="宋体" w:hAnsi="宋体"/>
          <w:color w:val="auto"/>
          <w:sz w:val="24"/>
          <w:highlight w:val="none"/>
        </w:rPr>
        <w:t>注：1、上述“环境标志产品政府采购清单”以相关职能部门正式发布的最新一期为准。</w:t>
      </w:r>
    </w:p>
    <w:p w14:paraId="4A74EFF9">
      <w:pP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eastAsia="宋体"/>
          <w:color w:val="auto"/>
          <w:sz w:val="24"/>
          <w:highlight w:val="none"/>
        </w:rPr>
        <w:t xml:space="preserve"> </w:t>
      </w:r>
      <w:r>
        <w:rPr>
          <w:rFonts w:hint="eastAsia" w:ascii="宋体" w:hAnsi="宋体"/>
          <w:color w:val="auto"/>
          <w:sz w:val="24"/>
          <w:highlight w:val="none"/>
        </w:rPr>
        <w:t xml:space="preserve">  2、采购项目分包的，本表应按报价包号填写。</w:t>
      </w:r>
    </w:p>
    <w:p w14:paraId="53596DB6">
      <w:pPr>
        <w:ind w:firstLine="480" w:firstLineChars="200"/>
        <w:rPr>
          <w:rFonts w:hint="eastAsia" w:ascii="宋体" w:hAnsi="宋体"/>
          <w:color w:val="auto"/>
          <w:sz w:val="24"/>
          <w:highlight w:val="none"/>
        </w:rPr>
      </w:pPr>
      <w:r>
        <w:rPr>
          <w:rFonts w:hint="eastAsia" w:ascii="宋体" w:hAnsi="宋体"/>
          <w:color w:val="auto"/>
          <w:sz w:val="24"/>
          <w:highlight w:val="none"/>
        </w:rPr>
        <w:t>3、后附认证证书复印件加盖</w:t>
      </w:r>
      <w:r>
        <w:rPr>
          <w:rFonts w:hint="eastAsia" w:ascii="宋体" w:hAnsi="宋体"/>
          <w:color w:val="auto"/>
          <w:sz w:val="24"/>
          <w:highlight w:val="none"/>
          <w:lang w:eastAsia="zh-CN"/>
        </w:rPr>
        <w:t>供应商</w:t>
      </w:r>
      <w:r>
        <w:rPr>
          <w:rFonts w:hint="eastAsia" w:ascii="宋体" w:hAnsi="宋体"/>
          <w:color w:val="auto"/>
          <w:sz w:val="24"/>
          <w:highlight w:val="none"/>
        </w:rPr>
        <w:t>公章。</w:t>
      </w:r>
    </w:p>
    <w:p w14:paraId="3A09557D">
      <w:pPr>
        <w:spacing w:line="480" w:lineRule="auto"/>
        <w:jc w:val="both"/>
        <w:rPr>
          <w:rFonts w:hint="eastAsia" w:ascii="宋体" w:hAnsi="宋体" w:cs="宋体"/>
          <w:color w:val="auto"/>
          <w:sz w:val="24"/>
          <w:highlight w:val="none"/>
          <w:lang w:eastAsia="zh-CN"/>
        </w:rPr>
      </w:pPr>
    </w:p>
    <w:p w14:paraId="4E85E6AE">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（盖单位公章）</w:t>
      </w:r>
    </w:p>
    <w:p w14:paraId="73F9903D">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法定代表人（单位负责人）或委托代理人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（签字并盖章）</w:t>
      </w:r>
    </w:p>
    <w:p w14:paraId="29790363">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rPr>
        <w:t xml:space="preserve">      年     月     日</w:t>
      </w:r>
    </w:p>
    <w:p w14:paraId="0B01EBAB">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CBB234A">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附：中小企业划型标准规定</w:t>
      </w:r>
    </w:p>
    <w:p w14:paraId="2008988C">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2C1A5DC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一、根据《中华人民共和国中小企业促进法》和《国务院关于进一步促进中小企业发展的若干意见》 (国发〔2009〕36 号)，制定本规定。</w:t>
      </w:r>
    </w:p>
    <w:p w14:paraId="6ADDB3F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二、中小企业划分为中型、小型、微型三种类型，具体标准根据企业从业人员、营业收入、资产总额等指标，结合行业特点制定。</w:t>
      </w:r>
    </w:p>
    <w:p w14:paraId="6D53B16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0D207BE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四、各行业划型标准为：</w:t>
      </w:r>
    </w:p>
    <w:p w14:paraId="45A249B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（一）农、林、牧、渔业。营业收入 20000 万元以下的为中小微型企业。其中，营业收入 500 万元及以上的为中型企业，营业收入 50 万元及以上的为小型企业，营业收入 50 万元以下的为微型企业。</w:t>
      </w:r>
    </w:p>
    <w:p w14:paraId="050DF0C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1CFB2A6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686446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0BFADFB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6CAC0E9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63516FC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21F448D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7BE93E4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6280ACA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085FF08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58C0F0C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5DEA612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房地产开发经营。营业收入 200000 万元以下或资产总额 10000 万元以下的为中</w:t>
      </w:r>
    </w:p>
    <w:p w14:paraId="6A1B4F3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66D2051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7F95418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5EFE0C9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（十六）其他未列明行业。从业人员 300 人以下的为中小微型企业。其中，从业人员 100 人及以上的为中型企业；从业人员 10 人及以上的为小型企业；从业人员 10 人以下的为微型企业。</w:t>
      </w:r>
    </w:p>
    <w:p w14:paraId="3F6C0F6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五、企业类型的划分以统计部门的统计数据为依据。</w:t>
      </w:r>
    </w:p>
    <w:p w14:paraId="3B25C82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六、本规定适用于在中华人民共和国境内依法设立的各类所有制和各种组织形式的企业。个体工商户和本规定以外的行业，参照本规定进行划型。</w:t>
      </w:r>
    </w:p>
    <w:p w14:paraId="5AA956B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七、本规定的中型企业标准上限即为大型企业标准的下限，国家统计部门据此制定大中小 微型企业的统计分类。国务院有关部门据此进行相关数据分析，不得制定与本规定不一致的企业划型标准。</w:t>
      </w:r>
    </w:p>
    <w:p w14:paraId="394A978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八、本规定由工业和信息化部、国家统计局会同有关部门根据《国民经济行业分类》修订情况和企业发展变化情况适时修订。</w:t>
      </w:r>
    </w:p>
    <w:p w14:paraId="3F5DCAB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九、本规定由工业和信息化部、国家统计局会同有关部门负责解释。</w:t>
      </w:r>
    </w:p>
    <w:p w14:paraId="55440D1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十、本规定自发布之日起执行，原国家经贸委、原国家计委、财政部和国家统计局 2003</w:t>
      </w:r>
    </w:p>
    <w:p w14:paraId="3F44395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年颁布的《中小企业标准暂行规定》同时废止。</w:t>
      </w:r>
    </w:p>
    <w:p w14:paraId="39F4706F">
      <w:pPr>
        <w:ind w:right="-65" w:rightChars="-31"/>
        <w:jc w:val="center"/>
        <w:outlineLvl w:val="9"/>
        <w:rPr>
          <w:rFonts w:hint="eastAsia" w:ascii="宋体" w:hAnsi="宋体" w:eastAsia="宋体" w:cs="宋体"/>
          <w:b/>
          <w:color w:val="auto"/>
          <w:sz w:val="30"/>
          <w:szCs w:val="30"/>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r>
        <w:rPr>
          <w:rFonts w:hint="eastAsia" w:ascii="宋体" w:hAnsi="宋体" w:eastAsia="宋体" w:cs="宋体"/>
          <w:b/>
          <w:color w:val="auto"/>
          <w:sz w:val="30"/>
          <w:szCs w:val="30"/>
        </w:rPr>
        <w:t>中小企业划型标准</w:t>
      </w:r>
    </w:p>
    <w:tbl>
      <w:tblPr>
        <w:tblStyle w:val="1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14FA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noWrap w:val="0"/>
            <w:vAlign w:val="center"/>
          </w:tcPr>
          <w:p w14:paraId="3A013D38">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序号</w:t>
            </w:r>
          </w:p>
        </w:tc>
        <w:tc>
          <w:tcPr>
            <w:tcW w:w="987" w:type="dxa"/>
            <w:vMerge w:val="restart"/>
            <w:noWrap w:val="0"/>
            <w:vAlign w:val="center"/>
          </w:tcPr>
          <w:p w14:paraId="0A9395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行业</w:t>
            </w:r>
          </w:p>
        </w:tc>
        <w:tc>
          <w:tcPr>
            <w:tcW w:w="1993" w:type="dxa"/>
            <w:gridSpan w:val="3"/>
            <w:noWrap w:val="0"/>
            <w:vAlign w:val="center"/>
          </w:tcPr>
          <w:p w14:paraId="1DC3166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大型企业</w:t>
            </w:r>
          </w:p>
        </w:tc>
        <w:tc>
          <w:tcPr>
            <w:tcW w:w="1967" w:type="dxa"/>
            <w:gridSpan w:val="3"/>
            <w:noWrap w:val="0"/>
            <w:vAlign w:val="center"/>
          </w:tcPr>
          <w:p w14:paraId="5979EB1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中型企业</w:t>
            </w:r>
          </w:p>
        </w:tc>
        <w:tc>
          <w:tcPr>
            <w:tcW w:w="2012" w:type="dxa"/>
            <w:gridSpan w:val="3"/>
            <w:noWrap w:val="0"/>
            <w:vAlign w:val="center"/>
          </w:tcPr>
          <w:p w14:paraId="2576B79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小型企业</w:t>
            </w:r>
          </w:p>
        </w:tc>
        <w:tc>
          <w:tcPr>
            <w:tcW w:w="1886" w:type="dxa"/>
            <w:gridSpan w:val="3"/>
            <w:noWrap w:val="0"/>
            <w:vAlign w:val="center"/>
          </w:tcPr>
          <w:p w14:paraId="1D715D8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微型企业</w:t>
            </w:r>
          </w:p>
        </w:tc>
      </w:tr>
      <w:tr w14:paraId="16C4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noWrap w:val="0"/>
            <w:vAlign w:val="center"/>
          </w:tcPr>
          <w:p w14:paraId="084DA916">
            <w:pPr>
              <w:ind w:left="-48" w:leftChars="-23" w:right="-65" w:rightChars="-31"/>
              <w:jc w:val="center"/>
              <w:outlineLvl w:val="9"/>
              <w:rPr>
                <w:rFonts w:hint="eastAsia" w:ascii="宋体" w:hAnsi="宋体" w:eastAsia="宋体" w:cs="宋体"/>
                <w:b/>
                <w:color w:val="auto"/>
                <w:szCs w:val="21"/>
              </w:rPr>
            </w:pPr>
          </w:p>
        </w:tc>
        <w:tc>
          <w:tcPr>
            <w:tcW w:w="987" w:type="dxa"/>
            <w:vMerge w:val="continue"/>
            <w:noWrap w:val="0"/>
            <w:vAlign w:val="center"/>
          </w:tcPr>
          <w:p w14:paraId="4F2FAC67">
            <w:pPr>
              <w:ind w:left="-48" w:leftChars="-23" w:right="-65" w:rightChars="-31"/>
              <w:outlineLvl w:val="9"/>
              <w:rPr>
                <w:rFonts w:hint="eastAsia" w:ascii="宋体" w:hAnsi="宋体" w:eastAsia="宋体" w:cs="宋体"/>
                <w:b/>
                <w:color w:val="auto"/>
                <w:szCs w:val="21"/>
              </w:rPr>
            </w:pPr>
          </w:p>
        </w:tc>
        <w:tc>
          <w:tcPr>
            <w:tcW w:w="735" w:type="dxa"/>
            <w:noWrap w:val="0"/>
            <w:vAlign w:val="center"/>
          </w:tcPr>
          <w:p w14:paraId="3A807A9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CEBD2D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28B03F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0C9B688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79" w:type="dxa"/>
            <w:noWrap w:val="0"/>
            <w:vAlign w:val="center"/>
          </w:tcPr>
          <w:p w14:paraId="6B2F7FB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1A073AE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4AF17D5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664C39E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3" w:type="dxa"/>
            <w:noWrap w:val="0"/>
            <w:vAlign w:val="center"/>
          </w:tcPr>
          <w:p w14:paraId="683A4BCF">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3CE6ED5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5" w:type="dxa"/>
            <w:noWrap w:val="0"/>
            <w:vAlign w:val="center"/>
          </w:tcPr>
          <w:p w14:paraId="4E81201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2513F2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D281B5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72FEA9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714" w:type="dxa"/>
            <w:noWrap w:val="0"/>
            <w:vAlign w:val="center"/>
          </w:tcPr>
          <w:p w14:paraId="005B429D">
            <w:pPr>
              <w:ind w:left="119" w:leftChars="-23" w:right="-65" w:rightChars="-31" w:hanging="167" w:hangingChars="79"/>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2BF724D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9" w:type="dxa"/>
            <w:noWrap w:val="0"/>
            <w:vAlign w:val="center"/>
          </w:tcPr>
          <w:p w14:paraId="0523C46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22BE328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0D498F7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75B7A7C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82" w:type="dxa"/>
            <w:noWrap w:val="0"/>
            <w:vAlign w:val="center"/>
          </w:tcPr>
          <w:p w14:paraId="2706595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6312151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25" w:type="dxa"/>
            <w:noWrap w:val="0"/>
            <w:vAlign w:val="center"/>
          </w:tcPr>
          <w:p w14:paraId="65F6C85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36E6ACB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r>
      <w:tr w14:paraId="4218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1499561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w:t>
            </w:r>
          </w:p>
        </w:tc>
        <w:tc>
          <w:tcPr>
            <w:tcW w:w="987" w:type="dxa"/>
            <w:noWrap w:val="0"/>
            <w:vAlign w:val="center"/>
          </w:tcPr>
          <w:p w14:paraId="2FF9E027">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农、林、牧、渔业</w:t>
            </w:r>
          </w:p>
        </w:tc>
        <w:tc>
          <w:tcPr>
            <w:tcW w:w="735" w:type="dxa"/>
            <w:noWrap w:val="0"/>
            <w:vAlign w:val="center"/>
          </w:tcPr>
          <w:p w14:paraId="29B51C7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7ADB30D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04418AC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64433D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559533F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62A7F2F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F52F51F">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24663E5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0F5C272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E6921C">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14E316A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33F6CBD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5E0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FA4E2C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w:t>
            </w:r>
          </w:p>
        </w:tc>
        <w:tc>
          <w:tcPr>
            <w:tcW w:w="987" w:type="dxa"/>
            <w:noWrap w:val="0"/>
            <w:vAlign w:val="center"/>
          </w:tcPr>
          <w:p w14:paraId="1C364F9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工业</w:t>
            </w:r>
          </w:p>
        </w:tc>
        <w:tc>
          <w:tcPr>
            <w:tcW w:w="735" w:type="dxa"/>
            <w:noWrap w:val="0"/>
            <w:vAlign w:val="center"/>
          </w:tcPr>
          <w:p w14:paraId="19BDB6D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≥40000</w:t>
            </w:r>
          </w:p>
        </w:tc>
        <w:tc>
          <w:tcPr>
            <w:tcW w:w="679" w:type="dxa"/>
            <w:noWrap w:val="0"/>
            <w:vAlign w:val="center"/>
          </w:tcPr>
          <w:p w14:paraId="1EB0B91D">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≥1000</w:t>
            </w:r>
          </w:p>
        </w:tc>
        <w:tc>
          <w:tcPr>
            <w:tcW w:w="579" w:type="dxa"/>
            <w:noWrap w:val="0"/>
            <w:vAlign w:val="center"/>
          </w:tcPr>
          <w:p w14:paraId="3B58520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5A6914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≥2000</w:t>
            </w:r>
          </w:p>
        </w:tc>
        <w:tc>
          <w:tcPr>
            <w:tcW w:w="673" w:type="dxa"/>
            <w:noWrap w:val="0"/>
            <w:vAlign w:val="center"/>
          </w:tcPr>
          <w:p w14:paraId="043EF6A7">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15" w:type="dxa"/>
            <w:noWrap w:val="0"/>
            <w:vAlign w:val="center"/>
          </w:tcPr>
          <w:p w14:paraId="2115FE95">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DCF6270">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714" w:type="dxa"/>
            <w:noWrap w:val="0"/>
            <w:vAlign w:val="center"/>
          </w:tcPr>
          <w:p w14:paraId="446D7434">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619" w:type="dxa"/>
            <w:noWrap w:val="0"/>
            <w:vAlign w:val="center"/>
          </w:tcPr>
          <w:p w14:paraId="75B545DD">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21F1CD47">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82" w:type="dxa"/>
            <w:noWrap w:val="0"/>
            <w:vAlign w:val="center"/>
          </w:tcPr>
          <w:p w14:paraId="48084E10">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525" w:type="dxa"/>
            <w:noWrap w:val="0"/>
            <w:vAlign w:val="center"/>
          </w:tcPr>
          <w:p w14:paraId="021B4594">
            <w:pPr>
              <w:jc w:val="center"/>
              <w:outlineLvl w:val="9"/>
              <w:rPr>
                <w:rFonts w:hint="eastAsia" w:ascii="宋体" w:hAnsi="宋体" w:eastAsia="宋体" w:cs="宋体"/>
                <w:b/>
                <w:color w:val="auto"/>
                <w:szCs w:val="21"/>
              </w:rPr>
            </w:pPr>
            <w:r>
              <w:rPr>
                <w:rFonts w:hint="eastAsia" w:ascii="宋体" w:hAnsi="宋体" w:eastAsia="宋体" w:cs="宋体"/>
                <w:b/>
                <w:color w:val="auto"/>
                <w:szCs w:val="21"/>
              </w:rPr>
              <w:t>　</w:t>
            </w:r>
          </w:p>
        </w:tc>
      </w:tr>
      <w:tr w14:paraId="5F01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noWrap w:val="0"/>
            <w:vAlign w:val="center"/>
          </w:tcPr>
          <w:p w14:paraId="7E73CDE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w:t>
            </w:r>
          </w:p>
        </w:tc>
        <w:tc>
          <w:tcPr>
            <w:tcW w:w="987" w:type="dxa"/>
            <w:noWrap w:val="0"/>
            <w:vAlign w:val="center"/>
          </w:tcPr>
          <w:p w14:paraId="4BFC191F">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建筑业</w:t>
            </w:r>
          </w:p>
        </w:tc>
        <w:tc>
          <w:tcPr>
            <w:tcW w:w="735" w:type="dxa"/>
            <w:noWrap w:val="0"/>
            <w:vAlign w:val="center"/>
          </w:tcPr>
          <w:p w14:paraId="7B25ECB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1ED7554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1A6E964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78311E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≥6000</w:t>
            </w:r>
          </w:p>
        </w:tc>
        <w:tc>
          <w:tcPr>
            <w:tcW w:w="673" w:type="dxa"/>
            <w:noWrap w:val="0"/>
            <w:vAlign w:val="center"/>
          </w:tcPr>
          <w:p w14:paraId="077593F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34198560">
            <w:pPr>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3B13E002">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714" w:type="dxa"/>
            <w:noWrap w:val="0"/>
            <w:vAlign w:val="center"/>
          </w:tcPr>
          <w:p w14:paraId="5332B25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1886F4A1">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79" w:type="dxa"/>
            <w:noWrap w:val="0"/>
            <w:vAlign w:val="center"/>
          </w:tcPr>
          <w:p w14:paraId="1EE50AD7">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82" w:type="dxa"/>
            <w:noWrap w:val="0"/>
            <w:vAlign w:val="center"/>
          </w:tcPr>
          <w:p w14:paraId="15F9D61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3B802A72">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r>
      <w:tr w14:paraId="6CCE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4403571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w:t>
            </w:r>
          </w:p>
        </w:tc>
        <w:tc>
          <w:tcPr>
            <w:tcW w:w="987" w:type="dxa"/>
            <w:noWrap w:val="0"/>
            <w:vAlign w:val="center"/>
          </w:tcPr>
          <w:p w14:paraId="0CE46D2C">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批发业</w:t>
            </w:r>
          </w:p>
        </w:tc>
        <w:tc>
          <w:tcPr>
            <w:tcW w:w="735" w:type="dxa"/>
            <w:noWrap w:val="0"/>
            <w:vAlign w:val="center"/>
          </w:tcPr>
          <w:p w14:paraId="240A679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≥40000</w:t>
            </w:r>
          </w:p>
        </w:tc>
        <w:tc>
          <w:tcPr>
            <w:tcW w:w="679" w:type="dxa"/>
            <w:noWrap w:val="0"/>
            <w:vAlign w:val="center"/>
          </w:tcPr>
          <w:p w14:paraId="07B84A8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7468DDD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B87874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3" w:type="dxa"/>
            <w:noWrap w:val="0"/>
            <w:vAlign w:val="center"/>
          </w:tcPr>
          <w:p w14:paraId="195B2D9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5" w:type="dxa"/>
            <w:noWrap w:val="0"/>
            <w:vAlign w:val="center"/>
          </w:tcPr>
          <w:p w14:paraId="1036432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4E62073">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714" w:type="dxa"/>
            <w:noWrap w:val="0"/>
            <w:vAlign w:val="center"/>
          </w:tcPr>
          <w:p w14:paraId="7A1C9BA6">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619" w:type="dxa"/>
            <w:noWrap w:val="0"/>
            <w:vAlign w:val="center"/>
          </w:tcPr>
          <w:p w14:paraId="35CCF37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5A8923B">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82" w:type="dxa"/>
            <w:noWrap w:val="0"/>
            <w:vAlign w:val="center"/>
          </w:tcPr>
          <w:p w14:paraId="75252334">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525" w:type="dxa"/>
            <w:noWrap w:val="0"/>
            <w:vAlign w:val="center"/>
          </w:tcPr>
          <w:p w14:paraId="074F824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86A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7B6977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5</w:t>
            </w:r>
          </w:p>
        </w:tc>
        <w:tc>
          <w:tcPr>
            <w:tcW w:w="987" w:type="dxa"/>
            <w:noWrap w:val="0"/>
            <w:vAlign w:val="center"/>
          </w:tcPr>
          <w:p w14:paraId="340858F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零售业</w:t>
            </w:r>
          </w:p>
        </w:tc>
        <w:tc>
          <w:tcPr>
            <w:tcW w:w="735" w:type="dxa"/>
            <w:noWrap w:val="0"/>
            <w:vAlign w:val="center"/>
          </w:tcPr>
          <w:p w14:paraId="6DDF1E8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63A9802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0155A47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9B858F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2E36D8B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15" w:type="dxa"/>
            <w:noWrap w:val="0"/>
            <w:vAlign w:val="center"/>
          </w:tcPr>
          <w:p w14:paraId="5737383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61CF9BD">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1F8AE3D">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970BA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DA4824">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34CDB34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EEE3B8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4DA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D7DBBC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6</w:t>
            </w:r>
          </w:p>
        </w:tc>
        <w:tc>
          <w:tcPr>
            <w:tcW w:w="987" w:type="dxa"/>
            <w:noWrap w:val="0"/>
            <w:vAlign w:val="center"/>
          </w:tcPr>
          <w:p w14:paraId="0815D0FF">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交通运输业</w:t>
            </w:r>
          </w:p>
        </w:tc>
        <w:tc>
          <w:tcPr>
            <w:tcW w:w="735" w:type="dxa"/>
            <w:noWrap w:val="0"/>
            <w:vAlign w:val="center"/>
          </w:tcPr>
          <w:p w14:paraId="7FEF45A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6595C87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307191F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E90F96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w:t>
            </w:r>
          </w:p>
        </w:tc>
        <w:tc>
          <w:tcPr>
            <w:tcW w:w="673" w:type="dxa"/>
            <w:noWrap w:val="0"/>
            <w:vAlign w:val="center"/>
          </w:tcPr>
          <w:p w14:paraId="03C593A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79332F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922B4EC">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714" w:type="dxa"/>
            <w:noWrap w:val="0"/>
            <w:vAlign w:val="center"/>
          </w:tcPr>
          <w:p w14:paraId="3149224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4466A1D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21EBF42">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682" w:type="dxa"/>
            <w:noWrap w:val="0"/>
            <w:vAlign w:val="center"/>
          </w:tcPr>
          <w:p w14:paraId="6C774F29">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59E9E12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49C9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96758C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7</w:t>
            </w:r>
          </w:p>
        </w:tc>
        <w:tc>
          <w:tcPr>
            <w:tcW w:w="987" w:type="dxa"/>
            <w:noWrap w:val="0"/>
            <w:vAlign w:val="center"/>
          </w:tcPr>
          <w:p w14:paraId="1FEEECE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仓储业</w:t>
            </w:r>
          </w:p>
        </w:tc>
        <w:tc>
          <w:tcPr>
            <w:tcW w:w="735" w:type="dxa"/>
            <w:noWrap w:val="0"/>
            <w:vAlign w:val="center"/>
          </w:tcPr>
          <w:p w14:paraId="50F3BFF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0F73315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4134F60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E0D433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155CBC0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A7E4FC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8A6C2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492D6CF1">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7882F6C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ABB687A">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4441EAD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4C07FB2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1D00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684D01E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8</w:t>
            </w:r>
          </w:p>
        </w:tc>
        <w:tc>
          <w:tcPr>
            <w:tcW w:w="987" w:type="dxa"/>
            <w:noWrap w:val="0"/>
            <w:vAlign w:val="center"/>
          </w:tcPr>
          <w:p w14:paraId="64FB893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邮政业</w:t>
            </w:r>
          </w:p>
        </w:tc>
        <w:tc>
          <w:tcPr>
            <w:tcW w:w="735" w:type="dxa"/>
            <w:noWrap w:val="0"/>
            <w:vAlign w:val="center"/>
          </w:tcPr>
          <w:p w14:paraId="0B794D7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3C22C42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57B629A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ED7C63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0B5E797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3B0588A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69B4FE">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FC688BD">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07C45B0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B198C0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2E4879A8">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002A13B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4C2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7824D2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9</w:t>
            </w:r>
          </w:p>
        </w:tc>
        <w:tc>
          <w:tcPr>
            <w:tcW w:w="987" w:type="dxa"/>
            <w:noWrap w:val="0"/>
            <w:vAlign w:val="center"/>
          </w:tcPr>
          <w:p w14:paraId="305414F6">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住宿业</w:t>
            </w:r>
          </w:p>
        </w:tc>
        <w:tc>
          <w:tcPr>
            <w:tcW w:w="735" w:type="dxa"/>
            <w:noWrap w:val="0"/>
            <w:vAlign w:val="center"/>
          </w:tcPr>
          <w:p w14:paraId="1865B33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3905E46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623EA1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A0C5EF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109C966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62D55C6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E3AEE5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9893C0E">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4029D6C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B07942D">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A5B922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50FCD5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4DC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D685C8F">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w:t>
            </w:r>
          </w:p>
        </w:tc>
        <w:tc>
          <w:tcPr>
            <w:tcW w:w="987" w:type="dxa"/>
            <w:noWrap w:val="0"/>
            <w:vAlign w:val="center"/>
          </w:tcPr>
          <w:p w14:paraId="48B0101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餐饮业</w:t>
            </w:r>
          </w:p>
        </w:tc>
        <w:tc>
          <w:tcPr>
            <w:tcW w:w="735" w:type="dxa"/>
            <w:noWrap w:val="0"/>
            <w:vAlign w:val="center"/>
          </w:tcPr>
          <w:p w14:paraId="520F169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2FAD2E7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EEEFE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A775B9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2AC35C0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FE9D1C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EFAF6C7">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7D7076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5F9B0A6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60CE785">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57B94EE5">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7193398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7B57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0F4E02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11</w:t>
            </w:r>
          </w:p>
        </w:tc>
        <w:tc>
          <w:tcPr>
            <w:tcW w:w="987" w:type="dxa"/>
            <w:noWrap w:val="0"/>
            <w:vAlign w:val="center"/>
          </w:tcPr>
          <w:p w14:paraId="273E4C1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信息传输业</w:t>
            </w:r>
          </w:p>
        </w:tc>
        <w:tc>
          <w:tcPr>
            <w:tcW w:w="735" w:type="dxa"/>
            <w:noWrap w:val="0"/>
            <w:vAlign w:val="center"/>
          </w:tcPr>
          <w:p w14:paraId="6DE54C3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≥100000</w:t>
            </w:r>
          </w:p>
        </w:tc>
        <w:tc>
          <w:tcPr>
            <w:tcW w:w="679" w:type="dxa"/>
            <w:noWrap w:val="0"/>
            <w:vAlign w:val="center"/>
          </w:tcPr>
          <w:p w14:paraId="2DB9F0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579" w:type="dxa"/>
            <w:noWrap w:val="0"/>
            <w:vAlign w:val="center"/>
          </w:tcPr>
          <w:p w14:paraId="52E2E19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397875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6E3790E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6B5CB52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E992935">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D43AD1B">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3649E9D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8478E0">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BE9F1E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0CE57A9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70A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00FE5AD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12</w:t>
            </w:r>
          </w:p>
        </w:tc>
        <w:tc>
          <w:tcPr>
            <w:tcW w:w="987" w:type="dxa"/>
            <w:noWrap w:val="0"/>
            <w:vAlign w:val="center"/>
          </w:tcPr>
          <w:p w14:paraId="15CFC20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软件和信息技术服务业</w:t>
            </w:r>
          </w:p>
        </w:tc>
        <w:tc>
          <w:tcPr>
            <w:tcW w:w="735" w:type="dxa"/>
            <w:noWrap w:val="0"/>
            <w:vAlign w:val="center"/>
          </w:tcPr>
          <w:p w14:paraId="4DED81C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5ED4A6F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34E9244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FC32B3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28A05E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896E91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BC2C2DF">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2CBC3F7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650CD3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58613E0">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0D85CC33">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07C81E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6591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3573B52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13</w:t>
            </w:r>
          </w:p>
        </w:tc>
        <w:tc>
          <w:tcPr>
            <w:tcW w:w="987" w:type="dxa"/>
            <w:noWrap w:val="0"/>
            <w:vAlign w:val="center"/>
          </w:tcPr>
          <w:p w14:paraId="47615978">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房地产开发经营</w:t>
            </w:r>
          </w:p>
        </w:tc>
        <w:tc>
          <w:tcPr>
            <w:tcW w:w="735" w:type="dxa"/>
            <w:noWrap w:val="0"/>
            <w:vAlign w:val="center"/>
          </w:tcPr>
          <w:p w14:paraId="5B4BE6D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≥200000</w:t>
            </w:r>
          </w:p>
        </w:tc>
        <w:tc>
          <w:tcPr>
            <w:tcW w:w="679" w:type="dxa"/>
            <w:noWrap w:val="0"/>
            <w:vAlign w:val="center"/>
          </w:tcPr>
          <w:p w14:paraId="24BB362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2FF8D87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或,≥10000</w:t>
            </w:r>
          </w:p>
        </w:tc>
        <w:tc>
          <w:tcPr>
            <w:tcW w:w="679" w:type="dxa"/>
            <w:noWrap w:val="0"/>
            <w:vAlign w:val="center"/>
          </w:tcPr>
          <w:p w14:paraId="203D363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550CEB0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34AF33EA">
            <w:pPr>
              <w:jc w:val="center"/>
              <w:outlineLvl w:val="9"/>
              <w:rPr>
                <w:rFonts w:hint="eastAsia" w:ascii="宋体" w:hAnsi="宋体" w:eastAsia="宋体" w:cs="宋体"/>
                <w:color w:val="auto"/>
                <w:szCs w:val="21"/>
              </w:rPr>
            </w:pPr>
            <w:r>
              <w:rPr>
                <w:rFonts w:hint="eastAsia" w:ascii="宋体" w:hAnsi="宋体" w:eastAsia="宋体" w:cs="宋体"/>
                <w:color w:val="auto"/>
                <w:szCs w:val="21"/>
              </w:rPr>
              <w:t>且,≥5000</w:t>
            </w:r>
          </w:p>
        </w:tc>
        <w:tc>
          <w:tcPr>
            <w:tcW w:w="679" w:type="dxa"/>
            <w:noWrap w:val="0"/>
            <w:vAlign w:val="center"/>
          </w:tcPr>
          <w:p w14:paraId="6E424C11">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D2FECB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4775A9B8">
            <w:pPr>
              <w:jc w:val="center"/>
              <w:outlineLvl w:val="9"/>
              <w:rPr>
                <w:rFonts w:hint="eastAsia" w:ascii="宋体" w:hAnsi="宋体" w:eastAsia="宋体" w:cs="宋体"/>
                <w:color w:val="auto"/>
                <w:szCs w:val="21"/>
              </w:rPr>
            </w:pPr>
            <w:r>
              <w:rPr>
                <w:rFonts w:hint="eastAsia" w:ascii="宋体" w:hAnsi="宋体" w:eastAsia="宋体" w:cs="宋体"/>
                <w:color w:val="auto"/>
                <w:szCs w:val="21"/>
              </w:rPr>
              <w:t>且,≥2000</w:t>
            </w:r>
          </w:p>
        </w:tc>
        <w:tc>
          <w:tcPr>
            <w:tcW w:w="679" w:type="dxa"/>
            <w:noWrap w:val="0"/>
            <w:vAlign w:val="center"/>
          </w:tcPr>
          <w:p w14:paraId="4CCDC42B">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17B517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601E0AAD">
            <w:pPr>
              <w:jc w:val="center"/>
              <w:outlineLvl w:val="9"/>
              <w:rPr>
                <w:rFonts w:hint="eastAsia" w:ascii="宋体" w:hAnsi="宋体" w:eastAsia="宋体" w:cs="宋体"/>
                <w:color w:val="auto"/>
                <w:szCs w:val="21"/>
              </w:rPr>
            </w:pPr>
            <w:r>
              <w:rPr>
                <w:rFonts w:hint="eastAsia" w:ascii="宋体" w:hAnsi="宋体" w:eastAsia="宋体" w:cs="宋体"/>
                <w:color w:val="auto"/>
                <w:szCs w:val="21"/>
              </w:rPr>
              <w:t>或,＜2000</w:t>
            </w:r>
          </w:p>
        </w:tc>
      </w:tr>
      <w:tr w14:paraId="3EB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F79757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14</w:t>
            </w:r>
          </w:p>
        </w:tc>
        <w:tc>
          <w:tcPr>
            <w:tcW w:w="987" w:type="dxa"/>
            <w:noWrap w:val="0"/>
            <w:vAlign w:val="center"/>
          </w:tcPr>
          <w:p w14:paraId="276B9387">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物业管理</w:t>
            </w:r>
          </w:p>
        </w:tc>
        <w:tc>
          <w:tcPr>
            <w:tcW w:w="735" w:type="dxa"/>
            <w:noWrap w:val="0"/>
            <w:vAlign w:val="center"/>
          </w:tcPr>
          <w:p w14:paraId="1501F45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0E4BD0D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02975CE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AF582E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B43B1E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514B11D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EAF939">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714" w:type="dxa"/>
            <w:noWrap w:val="0"/>
            <w:vAlign w:val="center"/>
          </w:tcPr>
          <w:p w14:paraId="5611BA9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9" w:type="dxa"/>
            <w:noWrap w:val="0"/>
            <w:vAlign w:val="center"/>
          </w:tcPr>
          <w:p w14:paraId="4E1394D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8C93AB8">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82" w:type="dxa"/>
            <w:noWrap w:val="0"/>
            <w:vAlign w:val="center"/>
          </w:tcPr>
          <w:p w14:paraId="62E0A1A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525" w:type="dxa"/>
            <w:noWrap w:val="0"/>
            <w:vAlign w:val="center"/>
          </w:tcPr>
          <w:p w14:paraId="01CD6CA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AF5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141A368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15</w:t>
            </w:r>
          </w:p>
        </w:tc>
        <w:tc>
          <w:tcPr>
            <w:tcW w:w="987" w:type="dxa"/>
            <w:noWrap w:val="0"/>
            <w:vAlign w:val="center"/>
          </w:tcPr>
          <w:p w14:paraId="452925AD">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租赁和商务服务业</w:t>
            </w:r>
          </w:p>
        </w:tc>
        <w:tc>
          <w:tcPr>
            <w:tcW w:w="735" w:type="dxa"/>
            <w:noWrap w:val="0"/>
            <w:vAlign w:val="center"/>
          </w:tcPr>
          <w:p w14:paraId="628B1D0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33D744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5EDAD4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或,≥120000</w:t>
            </w:r>
          </w:p>
        </w:tc>
        <w:tc>
          <w:tcPr>
            <w:tcW w:w="679" w:type="dxa"/>
            <w:noWrap w:val="0"/>
            <w:vAlign w:val="center"/>
          </w:tcPr>
          <w:p w14:paraId="71C5069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27708CF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4D6FF1F1">
            <w:pPr>
              <w:jc w:val="center"/>
              <w:outlineLvl w:val="9"/>
              <w:rPr>
                <w:rFonts w:hint="eastAsia" w:ascii="宋体" w:hAnsi="宋体" w:eastAsia="宋体" w:cs="宋体"/>
                <w:color w:val="auto"/>
                <w:szCs w:val="21"/>
              </w:rPr>
            </w:pPr>
            <w:r>
              <w:rPr>
                <w:rFonts w:hint="eastAsia" w:ascii="宋体" w:hAnsi="宋体" w:eastAsia="宋体" w:cs="宋体"/>
                <w:color w:val="auto"/>
                <w:szCs w:val="21"/>
              </w:rPr>
              <w:t>且,≥8000</w:t>
            </w:r>
          </w:p>
        </w:tc>
        <w:tc>
          <w:tcPr>
            <w:tcW w:w="679" w:type="dxa"/>
            <w:noWrap w:val="0"/>
            <w:vAlign w:val="center"/>
          </w:tcPr>
          <w:p w14:paraId="6656149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5B8B252C">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3905D0A7">
            <w:pPr>
              <w:jc w:val="center"/>
              <w:outlineLvl w:val="9"/>
              <w:rPr>
                <w:rFonts w:hint="eastAsia" w:ascii="宋体" w:hAnsi="宋体" w:eastAsia="宋体" w:cs="宋体"/>
                <w:color w:val="auto"/>
                <w:szCs w:val="21"/>
              </w:rPr>
            </w:pPr>
            <w:r>
              <w:rPr>
                <w:rFonts w:hint="eastAsia" w:ascii="宋体" w:hAnsi="宋体" w:eastAsia="宋体" w:cs="宋体"/>
                <w:color w:val="auto"/>
                <w:szCs w:val="21"/>
              </w:rPr>
              <w:t>且,≥100</w:t>
            </w:r>
          </w:p>
        </w:tc>
        <w:tc>
          <w:tcPr>
            <w:tcW w:w="679" w:type="dxa"/>
            <w:noWrap w:val="0"/>
            <w:vAlign w:val="center"/>
          </w:tcPr>
          <w:p w14:paraId="26F3BB1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1C0E2A27">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6D60D706">
            <w:pPr>
              <w:jc w:val="center"/>
              <w:outlineLvl w:val="9"/>
              <w:rPr>
                <w:rFonts w:hint="eastAsia" w:ascii="宋体" w:hAnsi="宋体" w:eastAsia="宋体" w:cs="宋体"/>
                <w:color w:val="auto"/>
                <w:szCs w:val="21"/>
              </w:rPr>
            </w:pPr>
            <w:r>
              <w:rPr>
                <w:rFonts w:hint="eastAsia" w:ascii="宋体" w:hAnsi="宋体" w:eastAsia="宋体" w:cs="宋体"/>
                <w:color w:val="auto"/>
                <w:szCs w:val="21"/>
              </w:rPr>
              <w:t>或,＜100</w:t>
            </w:r>
          </w:p>
        </w:tc>
      </w:tr>
      <w:tr w14:paraId="35CF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noWrap w:val="0"/>
            <w:vAlign w:val="center"/>
          </w:tcPr>
          <w:p w14:paraId="02B95364">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16</w:t>
            </w:r>
          </w:p>
        </w:tc>
        <w:tc>
          <w:tcPr>
            <w:tcW w:w="987" w:type="dxa"/>
            <w:noWrap w:val="0"/>
            <w:vAlign w:val="center"/>
          </w:tcPr>
          <w:p w14:paraId="47E3580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其他未列明行业</w:t>
            </w:r>
          </w:p>
        </w:tc>
        <w:tc>
          <w:tcPr>
            <w:tcW w:w="735" w:type="dxa"/>
            <w:noWrap w:val="0"/>
            <w:vAlign w:val="center"/>
          </w:tcPr>
          <w:p w14:paraId="2993590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A1105A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2278EBA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134DAB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6B3608C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37F55D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3AC92B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2808AA83">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5BA9241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12761A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6CC3495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A7CF84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bl>
    <w:p w14:paraId="4E1969B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418E95F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2090896">
      <w:pPr>
        <w:spacing w:before="182" w:line="220" w:lineRule="auto"/>
        <w:ind w:left="3332"/>
        <w:outlineLvl w:val="0"/>
        <w:rPr>
          <w:rFonts w:hint="eastAsia" w:ascii="宋体" w:hAnsi="宋体" w:eastAsia="宋体" w:cs="宋体"/>
          <w:color w:val="auto"/>
          <w:sz w:val="24"/>
          <w:szCs w:val="24"/>
        </w:rPr>
      </w:pPr>
      <w:bookmarkStart w:id="78" w:name="_Toc6463"/>
      <w:bookmarkStart w:id="79" w:name="_Toc805"/>
      <w:bookmarkStart w:id="80" w:name="_Toc12055"/>
      <w:r>
        <w:rPr>
          <w:rFonts w:hint="eastAsia" w:ascii="宋体" w:hAnsi="宋体" w:eastAsia="宋体" w:cs="宋体"/>
          <w:color w:val="auto"/>
          <w:sz w:val="24"/>
          <w:szCs w:val="24"/>
          <w14:textOutline w14:w="4358" w14:cap="sq" w14:cmpd="sng">
            <w14:solidFill>
              <w14:srgbClr w14:val="000000"/>
            </w14:solidFill>
            <w14:prstDash w14:val="solid"/>
            <w14:bevel/>
          </w14:textOutline>
        </w:rPr>
        <w:t>残疾人福利性单位声明函</w:t>
      </w:r>
      <w:bookmarkEnd w:id="78"/>
      <w:bookmarkEnd w:id="79"/>
      <w:bookmarkEnd w:id="80"/>
    </w:p>
    <w:p w14:paraId="4518F953">
      <w:pPr>
        <w:pStyle w:val="5"/>
        <w:spacing w:line="283" w:lineRule="auto"/>
        <w:outlineLvl w:val="9"/>
        <w:rPr>
          <w:rFonts w:hint="eastAsia" w:ascii="宋体" w:hAnsi="宋体" w:eastAsia="宋体" w:cs="宋体"/>
          <w:color w:val="auto"/>
        </w:rPr>
      </w:pPr>
    </w:p>
    <w:p w14:paraId="7D8B38F2">
      <w:pPr>
        <w:pStyle w:val="5"/>
        <w:spacing w:line="283" w:lineRule="auto"/>
        <w:outlineLvl w:val="9"/>
        <w:rPr>
          <w:rFonts w:hint="eastAsia" w:ascii="宋体" w:hAnsi="宋体" w:eastAsia="宋体" w:cs="宋体"/>
          <w:color w:val="auto"/>
        </w:rPr>
      </w:pPr>
    </w:p>
    <w:p w14:paraId="7F526796">
      <w:pPr>
        <w:spacing w:before="78" w:line="465" w:lineRule="exact"/>
        <w:ind w:right="2"/>
        <w:jc w:val="right"/>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本单位郑重声明，根据《财政部</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4"/>
          <w:position w:val="17"/>
          <w:sz w:val="24"/>
          <w:szCs w:val="24"/>
        </w:rPr>
        <w:t>民政部</w:t>
      </w:r>
      <w:r>
        <w:rPr>
          <w:rFonts w:hint="eastAsia" w:ascii="宋体" w:hAnsi="宋体" w:eastAsia="宋体" w:cs="宋体"/>
          <w:color w:val="auto"/>
          <w:spacing w:val="32"/>
          <w:position w:val="17"/>
          <w:sz w:val="24"/>
          <w:szCs w:val="24"/>
        </w:rPr>
        <w:t xml:space="preserve"> </w:t>
      </w:r>
      <w:r>
        <w:rPr>
          <w:rFonts w:hint="eastAsia" w:ascii="宋体" w:hAnsi="宋体" w:eastAsia="宋体" w:cs="宋体"/>
          <w:color w:val="auto"/>
          <w:spacing w:val="-4"/>
          <w:position w:val="17"/>
          <w:sz w:val="24"/>
          <w:szCs w:val="24"/>
        </w:rPr>
        <w:t>中国残疾人联合会关于促进残疾人就业政府</w:t>
      </w:r>
    </w:p>
    <w:p w14:paraId="2E2C83AB">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采购政策的通知》（财库〔2017〕141号）的规定</w:t>
      </w:r>
      <w:r>
        <w:rPr>
          <w:rFonts w:hint="eastAsia" w:ascii="宋体" w:hAnsi="宋体" w:eastAsia="宋体" w:cs="宋体"/>
          <w:color w:val="auto"/>
          <w:spacing w:val="-1"/>
          <w:sz w:val="24"/>
          <w:szCs w:val="24"/>
        </w:rPr>
        <w:t>，本单位（请进行选择</w:t>
      </w:r>
      <w:r>
        <w:rPr>
          <w:rFonts w:hint="eastAsia" w:ascii="宋体" w:hAnsi="宋体" w:eastAsia="宋体" w:cs="宋体"/>
          <w:color w:val="auto"/>
          <w:sz w:val="24"/>
          <w:szCs w:val="24"/>
        </w:rPr>
        <w:t>）：</w:t>
      </w:r>
    </w:p>
    <w:p w14:paraId="0253D00C">
      <w:pPr>
        <w:spacing w:before="182" w:line="220" w:lineRule="auto"/>
        <w:ind w:left="505"/>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不属于符合条件的残疾人福利性单位。</w:t>
      </w:r>
    </w:p>
    <w:p w14:paraId="5667B79D">
      <w:pPr>
        <w:spacing w:before="182" w:line="359" w:lineRule="auto"/>
        <w:ind w:left="1" w:firstLine="503"/>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rPr>
        <w:t>且本单位参加</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3"/>
          <w:sz w:val="24"/>
          <w:szCs w:val="24"/>
        </w:rPr>
        <w:t>单位的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3"/>
          <w:sz w:val="24"/>
          <w:szCs w:val="24"/>
        </w:rPr>
        <w:t>项目采购活</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动提供本单位制造的货物（由本单位承担工程/提供货物</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或者提供其他</w:t>
      </w:r>
      <w:r>
        <w:rPr>
          <w:rFonts w:hint="eastAsia" w:ascii="宋体" w:hAnsi="宋体" w:eastAsia="宋体" w:cs="宋体"/>
          <w:color w:val="auto"/>
          <w:sz w:val="24"/>
          <w:szCs w:val="24"/>
        </w:rPr>
        <w:t>残疾人福利性</w:t>
      </w:r>
    </w:p>
    <w:p w14:paraId="13E9E2A9">
      <w:pPr>
        <w:spacing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单位制造的货物（不包括使用非残疾人福利性单位注册商标的货物）。</w:t>
      </w:r>
    </w:p>
    <w:p w14:paraId="1B8010D1">
      <w:pPr>
        <w:spacing w:before="181"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本单位对上述声明的真实性负责。如有虚假，将依法承担相应责任。</w:t>
      </w:r>
    </w:p>
    <w:p w14:paraId="7FE42EDE">
      <w:pPr>
        <w:pStyle w:val="5"/>
        <w:spacing w:line="249" w:lineRule="auto"/>
        <w:outlineLvl w:val="9"/>
        <w:rPr>
          <w:rFonts w:hint="eastAsia" w:ascii="宋体" w:hAnsi="宋体" w:eastAsia="宋体" w:cs="宋体"/>
          <w:color w:val="auto"/>
        </w:rPr>
      </w:pPr>
    </w:p>
    <w:p w14:paraId="03BE60BD">
      <w:pPr>
        <w:pStyle w:val="5"/>
        <w:spacing w:line="249" w:lineRule="auto"/>
        <w:outlineLvl w:val="9"/>
        <w:rPr>
          <w:rFonts w:hint="eastAsia" w:ascii="宋体" w:hAnsi="宋体" w:eastAsia="宋体" w:cs="宋体"/>
          <w:color w:val="auto"/>
        </w:rPr>
      </w:pPr>
    </w:p>
    <w:p w14:paraId="35DC6622">
      <w:pPr>
        <w:pStyle w:val="5"/>
        <w:spacing w:line="249" w:lineRule="auto"/>
        <w:outlineLvl w:val="9"/>
        <w:rPr>
          <w:rFonts w:hint="eastAsia" w:ascii="宋体" w:hAnsi="宋体" w:eastAsia="宋体" w:cs="宋体"/>
          <w:color w:val="auto"/>
        </w:rPr>
      </w:pPr>
    </w:p>
    <w:p w14:paraId="43D6FBA0">
      <w:pPr>
        <w:pStyle w:val="5"/>
        <w:spacing w:line="249" w:lineRule="auto"/>
        <w:outlineLvl w:val="9"/>
        <w:rPr>
          <w:rFonts w:hint="eastAsia" w:ascii="宋体" w:hAnsi="宋体" w:eastAsia="宋体" w:cs="宋体"/>
          <w:color w:val="auto"/>
        </w:rPr>
      </w:pPr>
    </w:p>
    <w:p w14:paraId="3366860B">
      <w:pPr>
        <w:pStyle w:val="5"/>
        <w:spacing w:line="249" w:lineRule="auto"/>
        <w:outlineLvl w:val="9"/>
        <w:rPr>
          <w:rFonts w:hint="eastAsia" w:ascii="宋体" w:hAnsi="宋体" w:eastAsia="宋体" w:cs="宋体"/>
          <w:color w:val="auto"/>
        </w:rPr>
      </w:pPr>
    </w:p>
    <w:p w14:paraId="57F6B68E">
      <w:pPr>
        <w:pStyle w:val="5"/>
        <w:spacing w:line="250" w:lineRule="auto"/>
        <w:outlineLvl w:val="9"/>
        <w:rPr>
          <w:rFonts w:hint="eastAsia" w:ascii="宋体" w:hAnsi="宋体" w:eastAsia="宋体" w:cs="宋体"/>
          <w:color w:val="auto"/>
        </w:rPr>
      </w:pPr>
    </w:p>
    <w:p w14:paraId="6401F383">
      <w:pPr>
        <w:spacing w:before="78"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2"/>
          <w:sz w:val="24"/>
          <w:szCs w:val="24"/>
        </w:rPr>
        <w:t>（盖章</w:t>
      </w:r>
      <w:r>
        <w:rPr>
          <w:rFonts w:hint="eastAsia" w:ascii="宋体" w:hAnsi="宋体" w:eastAsia="宋体" w:cs="宋体"/>
          <w:color w:val="auto"/>
          <w:spacing w:val="1"/>
          <w:sz w:val="24"/>
          <w:szCs w:val="24"/>
        </w:rPr>
        <w:t>）</w:t>
      </w:r>
    </w:p>
    <w:p w14:paraId="3449006F">
      <w:pPr>
        <w:spacing w:line="220" w:lineRule="auto"/>
        <w:ind w:left="483"/>
        <w:outlineLvl w:val="9"/>
        <w:rPr>
          <w:rFonts w:hint="eastAsia" w:ascii="宋体" w:hAnsi="宋体" w:eastAsia="宋体" w:cs="宋体"/>
          <w:color w:val="auto"/>
          <w:spacing w:val="1"/>
          <w:sz w:val="24"/>
          <w:szCs w:val="24"/>
        </w:rPr>
      </w:pPr>
    </w:p>
    <w:p w14:paraId="0594A994">
      <w:pPr>
        <w:spacing w:line="220"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法定代表人（单位负责人）或委托代理人：          （签字并盖章）</w:t>
      </w:r>
    </w:p>
    <w:p w14:paraId="5D7C2F85">
      <w:pPr>
        <w:pStyle w:val="5"/>
        <w:spacing w:line="257" w:lineRule="auto"/>
        <w:outlineLvl w:val="9"/>
        <w:rPr>
          <w:rFonts w:hint="eastAsia" w:ascii="宋体" w:hAnsi="宋体" w:eastAsia="宋体" w:cs="宋体"/>
          <w:color w:val="auto"/>
        </w:rPr>
      </w:pPr>
    </w:p>
    <w:p w14:paraId="3F40D08F">
      <w:pPr>
        <w:spacing w:before="78" w:line="220" w:lineRule="auto"/>
        <w:ind w:left="522"/>
        <w:outlineLvl w:val="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日期</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pacing w:val="-9"/>
          <w:sz w:val="24"/>
          <w:szCs w:val="24"/>
        </w:rPr>
        <w:t>年</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pacing w:val="-9"/>
          <w:sz w:val="24"/>
          <w:szCs w:val="24"/>
        </w:rPr>
        <w:t>日</w:t>
      </w:r>
    </w:p>
    <w:p w14:paraId="1EDA71FE">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34D5998">
      <w:pPr>
        <w:spacing w:before="181" w:line="466" w:lineRule="exact"/>
        <w:ind w:left="1165"/>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省级以上监狱管理局、戒毒管理局（含新疆生产建设兵团）出具的</w:t>
      </w:r>
    </w:p>
    <w:p w14:paraId="05ED24AC">
      <w:pPr>
        <w:spacing w:line="220" w:lineRule="auto"/>
        <w:ind w:left="3333"/>
        <w:outlineLvl w:val="0"/>
        <w:rPr>
          <w:rFonts w:hint="eastAsia" w:ascii="宋体" w:hAnsi="宋体" w:eastAsia="宋体" w:cs="宋体"/>
          <w:color w:val="auto"/>
          <w:sz w:val="24"/>
          <w:szCs w:val="24"/>
        </w:rPr>
      </w:pPr>
      <w:bookmarkStart w:id="81" w:name="_Toc897"/>
      <w:bookmarkStart w:id="82" w:name="_Toc18630"/>
      <w:bookmarkStart w:id="83" w:name="_Toc15465"/>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属于监狱企业的证明文件</w:t>
      </w:r>
      <w:bookmarkEnd w:id="81"/>
      <w:bookmarkEnd w:id="82"/>
      <w:bookmarkEnd w:id="83"/>
    </w:p>
    <w:p w14:paraId="23206D25">
      <w:pPr>
        <w:spacing w:before="182" w:line="219" w:lineRule="auto"/>
        <w:ind w:left="3700"/>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（如果是，提供）</w:t>
      </w:r>
    </w:p>
    <w:p w14:paraId="172FEC7D">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245F39B">
      <w:pPr>
        <w:spacing w:before="48" w:line="220" w:lineRule="auto"/>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格式十：类似业绩一览表</w:t>
      </w:r>
    </w:p>
    <w:p w14:paraId="6B37BA3B">
      <w:pPr>
        <w:spacing w:before="48" w:line="220" w:lineRule="auto"/>
        <w:outlineLvl w:val="9"/>
        <w:rPr>
          <w:rFonts w:hint="eastAsia" w:ascii="宋体" w:hAnsi="宋体" w:eastAsia="宋体" w:cs="宋体"/>
          <w:color w:val="auto"/>
          <w:sz w:val="24"/>
          <w:szCs w:val="24"/>
        </w:rPr>
      </w:pPr>
    </w:p>
    <w:tbl>
      <w:tblPr>
        <w:tblStyle w:val="16"/>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0B45A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noWrap w:val="0"/>
            <w:textDirection w:val="tbRlV"/>
            <w:vAlign w:val="center"/>
          </w:tcPr>
          <w:p w14:paraId="73359DB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noWrap w:val="0"/>
            <w:vAlign w:val="center"/>
          </w:tcPr>
          <w:p w14:paraId="5D72D09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noWrap w:val="0"/>
            <w:vAlign w:val="center"/>
          </w:tcPr>
          <w:p w14:paraId="2FA2DC3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1663" w:type="dxa"/>
            <w:noWrap w:val="0"/>
            <w:vAlign w:val="center"/>
          </w:tcPr>
          <w:p w14:paraId="131D820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rPr>
              <w:t>金额</w:t>
            </w:r>
          </w:p>
        </w:tc>
        <w:tc>
          <w:tcPr>
            <w:tcW w:w="1562" w:type="dxa"/>
            <w:noWrap w:val="0"/>
            <w:vAlign w:val="center"/>
          </w:tcPr>
          <w:p w14:paraId="1D5B6CA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noWrap w:val="0"/>
            <w:vAlign w:val="center"/>
          </w:tcPr>
          <w:p w14:paraId="66847FF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noWrap w:val="0"/>
            <w:vAlign w:val="center"/>
          </w:tcPr>
          <w:p w14:paraId="0C8EE1F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C247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70385F7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noWrap w:val="0"/>
            <w:vAlign w:val="center"/>
          </w:tcPr>
          <w:p w14:paraId="6E974180">
            <w:pPr>
              <w:bidi w:val="0"/>
              <w:jc w:val="center"/>
              <w:rPr>
                <w:rFonts w:hint="eastAsia" w:ascii="宋体" w:hAnsi="宋体" w:eastAsia="宋体" w:cs="宋体"/>
                <w:color w:val="auto"/>
                <w:sz w:val="24"/>
                <w:szCs w:val="24"/>
              </w:rPr>
            </w:pPr>
          </w:p>
        </w:tc>
        <w:tc>
          <w:tcPr>
            <w:tcW w:w="1412" w:type="dxa"/>
            <w:noWrap w:val="0"/>
            <w:vAlign w:val="center"/>
          </w:tcPr>
          <w:p w14:paraId="1A70F919">
            <w:pPr>
              <w:bidi w:val="0"/>
              <w:jc w:val="center"/>
              <w:rPr>
                <w:rFonts w:hint="eastAsia" w:ascii="宋体" w:hAnsi="宋体" w:eastAsia="宋体" w:cs="宋体"/>
                <w:color w:val="auto"/>
                <w:sz w:val="24"/>
                <w:szCs w:val="24"/>
              </w:rPr>
            </w:pPr>
          </w:p>
        </w:tc>
        <w:tc>
          <w:tcPr>
            <w:tcW w:w="1663" w:type="dxa"/>
            <w:noWrap w:val="0"/>
            <w:vAlign w:val="center"/>
          </w:tcPr>
          <w:p w14:paraId="23E9278C">
            <w:pPr>
              <w:bidi w:val="0"/>
              <w:jc w:val="center"/>
              <w:rPr>
                <w:rFonts w:hint="eastAsia" w:ascii="宋体" w:hAnsi="宋体" w:eastAsia="宋体" w:cs="宋体"/>
                <w:color w:val="auto"/>
                <w:sz w:val="24"/>
                <w:szCs w:val="24"/>
              </w:rPr>
            </w:pPr>
          </w:p>
        </w:tc>
        <w:tc>
          <w:tcPr>
            <w:tcW w:w="1562" w:type="dxa"/>
            <w:noWrap w:val="0"/>
            <w:vAlign w:val="center"/>
          </w:tcPr>
          <w:p w14:paraId="3238F38A">
            <w:pPr>
              <w:bidi w:val="0"/>
              <w:jc w:val="center"/>
              <w:rPr>
                <w:rFonts w:hint="eastAsia" w:ascii="宋体" w:hAnsi="宋体" w:eastAsia="宋体" w:cs="宋体"/>
                <w:color w:val="auto"/>
                <w:sz w:val="24"/>
                <w:szCs w:val="24"/>
              </w:rPr>
            </w:pPr>
          </w:p>
        </w:tc>
        <w:tc>
          <w:tcPr>
            <w:tcW w:w="1590" w:type="dxa"/>
            <w:noWrap w:val="0"/>
            <w:vAlign w:val="center"/>
          </w:tcPr>
          <w:p w14:paraId="27AED06E">
            <w:pPr>
              <w:bidi w:val="0"/>
              <w:jc w:val="center"/>
              <w:rPr>
                <w:rFonts w:hint="eastAsia" w:ascii="宋体" w:hAnsi="宋体" w:eastAsia="宋体" w:cs="宋体"/>
                <w:color w:val="auto"/>
                <w:sz w:val="24"/>
                <w:szCs w:val="24"/>
              </w:rPr>
            </w:pPr>
          </w:p>
        </w:tc>
        <w:tc>
          <w:tcPr>
            <w:tcW w:w="669" w:type="dxa"/>
            <w:noWrap w:val="0"/>
            <w:vAlign w:val="center"/>
          </w:tcPr>
          <w:p w14:paraId="6C6616D4">
            <w:pPr>
              <w:bidi w:val="0"/>
              <w:jc w:val="center"/>
              <w:rPr>
                <w:rFonts w:hint="eastAsia" w:ascii="宋体" w:hAnsi="宋体" w:eastAsia="宋体" w:cs="宋体"/>
                <w:color w:val="auto"/>
                <w:sz w:val="24"/>
                <w:szCs w:val="24"/>
              </w:rPr>
            </w:pPr>
          </w:p>
        </w:tc>
      </w:tr>
      <w:tr w14:paraId="03163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7262CD1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noWrap w:val="0"/>
            <w:vAlign w:val="center"/>
          </w:tcPr>
          <w:p w14:paraId="6613A107">
            <w:pPr>
              <w:bidi w:val="0"/>
              <w:jc w:val="center"/>
              <w:rPr>
                <w:rFonts w:hint="eastAsia" w:ascii="宋体" w:hAnsi="宋体" w:eastAsia="宋体" w:cs="宋体"/>
                <w:color w:val="auto"/>
                <w:sz w:val="24"/>
                <w:szCs w:val="24"/>
              </w:rPr>
            </w:pPr>
          </w:p>
        </w:tc>
        <w:tc>
          <w:tcPr>
            <w:tcW w:w="1412" w:type="dxa"/>
            <w:noWrap w:val="0"/>
            <w:vAlign w:val="center"/>
          </w:tcPr>
          <w:p w14:paraId="184C19FA">
            <w:pPr>
              <w:bidi w:val="0"/>
              <w:jc w:val="center"/>
              <w:rPr>
                <w:rFonts w:hint="eastAsia" w:ascii="宋体" w:hAnsi="宋体" w:eastAsia="宋体" w:cs="宋体"/>
                <w:color w:val="auto"/>
                <w:sz w:val="24"/>
                <w:szCs w:val="24"/>
              </w:rPr>
            </w:pPr>
          </w:p>
        </w:tc>
        <w:tc>
          <w:tcPr>
            <w:tcW w:w="1663" w:type="dxa"/>
            <w:noWrap w:val="0"/>
            <w:vAlign w:val="center"/>
          </w:tcPr>
          <w:p w14:paraId="7FFB0FC9">
            <w:pPr>
              <w:bidi w:val="0"/>
              <w:jc w:val="center"/>
              <w:rPr>
                <w:rFonts w:hint="eastAsia" w:ascii="宋体" w:hAnsi="宋体" w:eastAsia="宋体" w:cs="宋体"/>
                <w:color w:val="auto"/>
                <w:sz w:val="24"/>
                <w:szCs w:val="24"/>
              </w:rPr>
            </w:pPr>
          </w:p>
        </w:tc>
        <w:tc>
          <w:tcPr>
            <w:tcW w:w="1562" w:type="dxa"/>
            <w:noWrap w:val="0"/>
            <w:vAlign w:val="center"/>
          </w:tcPr>
          <w:p w14:paraId="61D2FD89">
            <w:pPr>
              <w:bidi w:val="0"/>
              <w:jc w:val="center"/>
              <w:rPr>
                <w:rFonts w:hint="eastAsia" w:ascii="宋体" w:hAnsi="宋体" w:eastAsia="宋体" w:cs="宋体"/>
                <w:color w:val="auto"/>
                <w:sz w:val="24"/>
                <w:szCs w:val="24"/>
              </w:rPr>
            </w:pPr>
          </w:p>
        </w:tc>
        <w:tc>
          <w:tcPr>
            <w:tcW w:w="1590" w:type="dxa"/>
            <w:noWrap w:val="0"/>
            <w:vAlign w:val="center"/>
          </w:tcPr>
          <w:p w14:paraId="4D79EE70">
            <w:pPr>
              <w:bidi w:val="0"/>
              <w:jc w:val="center"/>
              <w:rPr>
                <w:rFonts w:hint="eastAsia" w:ascii="宋体" w:hAnsi="宋体" w:eastAsia="宋体" w:cs="宋体"/>
                <w:color w:val="auto"/>
                <w:sz w:val="24"/>
                <w:szCs w:val="24"/>
              </w:rPr>
            </w:pPr>
          </w:p>
        </w:tc>
        <w:tc>
          <w:tcPr>
            <w:tcW w:w="669" w:type="dxa"/>
            <w:noWrap w:val="0"/>
            <w:vAlign w:val="center"/>
          </w:tcPr>
          <w:p w14:paraId="28C80E9B">
            <w:pPr>
              <w:bidi w:val="0"/>
              <w:jc w:val="center"/>
              <w:rPr>
                <w:rFonts w:hint="eastAsia" w:ascii="宋体" w:hAnsi="宋体" w:eastAsia="宋体" w:cs="宋体"/>
                <w:color w:val="auto"/>
                <w:sz w:val="24"/>
                <w:szCs w:val="24"/>
              </w:rPr>
            </w:pPr>
          </w:p>
        </w:tc>
      </w:tr>
      <w:tr w14:paraId="11CA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03B56EE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noWrap w:val="0"/>
            <w:vAlign w:val="center"/>
          </w:tcPr>
          <w:p w14:paraId="5064E2C6">
            <w:pPr>
              <w:bidi w:val="0"/>
              <w:jc w:val="center"/>
              <w:rPr>
                <w:rFonts w:hint="eastAsia" w:ascii="宋体" w:hAnsi="宋体" w:eastAsia="宋体" w:cs="宋体"/>
                <w:color w:val="auto"/>
                <w:sz w:val="24"/>
                <w:szCs w:val="24"/>
              </w:rPr>
            </w:pPr>
          </w:p>
        </w:tc>
        <w:tc>
          <w:tcPr>
            <w:tcW w:w="1412" w:type="dxa"/>
            <w:noWrap w:val="0"/>
            <w:vAlign w:val="center"/>
          </w:tcPr>
          <w:p w14:paraId="40615E50">
            <w:pPr>
              <w:bidi w:val="0"/>
              <w:jc w:val="center"/>
              <w:rPr>
                <w:rFonts w:hint="eastAsia" w:ascii="宋体" w:hAnsi="宋体" w:eastAsia="宋体" w:cs="宋体"/>
                <w:color w:val="auto"/>
                <w:sz w:val="24"/>
                <w:szCs w:val="24"/>
              </w:rPr>
            </w:pPr>
          </w:p>
        </w:tc>
        <w:tc>
          <w:tcPr>
            <w:tcW w:w="1663" w:type="dxa"/>
            <w:noWrap w:val="0"/>
            <w:vAlign w:val="center"/>
          </w:tcPr>
          <w:p w14:paraId="0564EC12">
            <w:pPr>
              <w:bidi w:val="0"/>
              <w:jc w:val="center"/>
              <w:rPr>
                <w:rFonts w:hint="eastAsia" w:ascii="宋体" w:hAnsi="宋体" w:eastAsia="宋体" w:cs="宋体"/>
                <w:color w:val="auto"/>
                <w:sz w:val="24"/>
                <w:szCs w:val="24"/>
              </w:rPr>
            </w:pPr>
          </w:p>
        </w:tc>
        <w:tc>
          <w:tcPr>
            <w:tcW w:w="1562" w:type="dxa"/>
            <w:noWrap w:val="0"/>
            <w:vAlign w:val="center"/>
          </w:tcPr>
          <w:p w14:paraId="74205FE5">
            <w:pPr>
              <w:bidi w:val="0"/>
              <w:jc w:val="center"/>
              <w:rPr>
                <w:rFonts w:hint="eastAsia" w:ascii="宋体" w:hAnsi="宋体" w:eastAsia="宋体" w:cs="宋体"/>
                <w:color w:val="auto"/>
                <w:sz w:val="24"/>
                <w:szCs w:val="24"/>
              </w:rPr>
            </w:pPr>
          </w:p>
        </w:tc>
        <w:tc>
          <w:tcPr>
            <w:tcW w:w="1590" w:type="dxa"/>
            <w:noWrap w:val="0"/>
            <w:vAlign w:val="center"/>
          </w:tcPr>
          <w:p w14:paraId="4E7C32E8">
            <w:pPr>
              <w:bidi w:val="0"/>
              <w:jc w:val="center"/>
              <w:rPr>
                <w:rFonts w:hint="eastAsia" w:ascii="宋体" w:hAnsi="宋体" w:eastAsia="宋体" w:cs="宋体"/>
                <w:color w:val="auto"/>
                <w:sz w:val="24"/>
                <w:szCs w:val="24"/>
              </w:rPr>
            </w:pPr>
          </w:p>
        </w:tc>
        <w:tc>
          <w:tcPr>
            <w:tcW w:w="669" w:type="dxa"/>
            <w:noWrap w:val="0"/>
            <w:vAlign w:val="center"/>
          </w:tcPr>
          <w:p w14:paraId="7B131795">
            <w:pPr>
              <w:bidi w:val="0"/>
              <w:jc w:val="center"/>
              <w:rPr>
                <w:rFonts w:hint="eastAsia" w:ascii="宋体" w:hAnsi="宋体" w:eastAsia="宋体" w:cs="宋体"/>
                <w:color w:val="auto"/>
                <w:sz w:val="24"/>
                <w:szCs w:val="24"/>
              </w:rPr>
            </w:pPr>
          </w:p>
        </w:tc>
      </w:tr>
      <w:tr w14:paraId="05711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4DEE5D8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noWrap w:val="0"/>
            <w:vAlign w:val="center"/>
          </w:tcPr>
          <w:p w14:paraId="1825E275">
            <w:pPr>
              <w:bidi w:val="0"/>
              <w:jc w:val="center"/>
              <w:rPr>
                <w:rFonts w:hint="eastAsia" w:ascii="宋体" w:hAnsi="宋体" w:eastAsia="宋体" w:cs="宋体"/>
                <w:color w:val="auto"/>
                <w:sz w:val="24"/>
                <w:szCs w:val="24"/>
              </w:rPr>
            </w:pPr>
          </w:p>
        </w:tc>
        <w:tc>
          <w:tcPr>
            <w:tcW w:w="1412" w:type="dxa"/>
            <w:noWrap w:val="0"/>
            <w:vAlign w:val="center"/>
          </w:tcPr>
          <w:p w14:paraId="0BA5DFCA">
            <w:pPr>
              <w:bidi w:val="0"/>
              <w:jc w:val="center"/>
              <w:rPr>
                <w:rFonts w:hint="eastAsia" w:ascii="宋体" w:hAnsi="宋体" w:eastAsia="宋体" w:cs="宋体"/>
                <w:color w:val="auto"/>
                <w:sz w:val="24"/>
                <w:szCs w:val="24"/>
              </w:rPr>
            </w:pPr>
          </w:p>
        </w:tc>
        <w:tc>
          <w:tcPr>
            <w:tcW w:w="1663" w:type="dxa"/>
            <w:noWrap w:val="0"/>
            <w:vAlign w:val="center"/>
          </w:tcPr>
          <w:p w14:paraId="5058C306">
            <w:pPr>
              <w:bidi w:val="0"/>
              <w:jc w:val="center"/>
              <w:rPr>
                <w:rFonts w:hint="eastAsia" w:ascii="宋体" w:hAnsi="宋体" w:eastAsia="宋体" w:cs="宋体"/>
                <w:color w:val="auto"/>
                <w:sz w:val="24"/>
                <w:szCs w:val="24"/>
              </w:rPr>
            </w:pPr>
          </w:p>
        </w:tc>
        <w:tc>
          <w:tcPr>
            <w:tcW w:w="1562" w:type="dxa"/>
            <w:noWrap w:val="0"/>
            <w:vAlign w:val="center"/>
          </w:tcPr>
          <w:p w14:paraId="70D8FF16">
            <w:pPr>
              <w:bidi w:val="0"/>
              <w:jc w:val="center"/>
              <w:rPr>
                <w:rFonts w:hint="eastAsia" w:ascii="宋体" w:hAnsi="宋体" w:eastAsia="宋体" w:cs="宋体"/>
                <w:color w:val="auto"/>
                <w:sz w:val="24"/>
                <w:szCs w:val="24"/>
              </w:rPr>
            </w:pPr>
          </w:p>
        </w:tc>
        <w:tc>
          <w:tcPr>
            <w:tcW w:w="1590" w:type="dxa"/>
            <w:noWrap w:val="0"/>
            <w:vAlign w:val="center"/>
          </w:tcPr>
          <w:p w14:paraId="4610C6C6">
            <w:pPr>
              <w:bidi w:val="0"/>
              <w:jc w:val="center"/>
              <w:rPr>
                <w:rFonts w:hint="eastAsia" w:ascii="宋体" w:hAnsi="宋体" w:eastAsia="宋体" w:cs="宋体"/>
                <w:color w:val="auto"/>
                <w:sz w:val="24"/>
                <w:szCs w:val="24"/>
              </w:rPr>
            </w:pPr>
          </w:p>
        </w:tc>
        <w:tc>
          <w:tcPr>
            <w:tcW w:w="669" w:type="dxa"/>
            <w:noWrap w:val="0"/>
            <w:vAlign w:val="center"/>
          </w:tcPr>
          <w:p w14:paraId="13EF3DA9">
            <w:pPr>
              <w:bidi w:val="0"/>
              <w:jc w:val="center"/>
              <w:rPr>
                <w:rFonts w:hint="eastAsia" w:ascii="宋体" w:hAnsi="宋体" w:eastAsia="宋体" w:cs="宋体"/>
                <w:color w:val="auto"/>
                <w:sz w:val="24"/>
                <w:szCs w:val="24"/>
              </w:rPr>
            </w:pPr>
          </w:p>
        </w:tc>
      </w:tr>
      <w:tr w14:paraId="44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1172D86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noWrap w:val="0"/>
            <w:vAlign w:val="center"/>
          </w:tcPr>
          <w:p w14:paraId="769E5A26">
            <w:pPr>
              <w:bidi w:val="0"/>
              <w:jc w:val="center"/>
              <w:rPr>
                <w:rFonts w:hint="eastAsia" w:ascii="宋体" w:hAnsi="宋体" w:eastAsia="宋体" w:cs="宋体"/>
                <w:color w:val="auto"/>
                <w:sz w:val="24"/>
                <w:szCs w:val="24"/>
              </w:rPr>
            </w:pPr>
          </w:p>
        </w:tc>
        <w:tc>
          <w:tcPr>
            <w:tcW w:w="1412" w:type="dxa"/>
            <w:noWrap w:val="0"/>
            <w:vAlign w:val="center"/>
          </w:tcPr>
          <w:p w14:paraId="455126E0">
            <w:pPr>
              <w:bidi w:val="0"/>
              <w:jc w:val="center"/>
              <w:rPr>
                <w:rFonts w:hint="eastAsia" w:ascii="宋体" w:hAnsi="宋体" w:eastAsia="宋体" w:cs="宋体"/>
                <w:color w:val="auto"/>
                <w:sz w:val="24"/>
                <w:szCs w:val="24"/>
              </w:rPr>
            </w:pPr>
          </w:p>
        </w:tc>
        <w:tc>
          <w:tcPr>
            <w:tcW w:w="1663" w:type="dxa"/>
            <w:noWrap w:val="0"/>
            <w:vAlign w:val="center"/>
          </w:tcPr>
          <w:p w14:paraId="55B4537E">
            <w:pPr>
              <w:bidi w:val="0"/>
              <w:jc w:val="center"/>
              <w:rPr>
                <w:rFonts w:hint="eastAsia" w:ascii="宋体" w:hAnsi="宋体" w:eastAsia="宋体" w:cs="宋体"/>
                <w:color w:val="auto"/>
                <w:sz w:val="24"/>
                <w:szCs w:val="24"/>
              </w:rPr>
            </w:pPr>
          </w:p>
        </w:tc>
        <w:tc>
          <w:tcPr>
            <w:tcW w:w="1562" w:type="dxa"/>
            <w:noWrap w:val="0"/>
            <w:vAlign w:val="center"/>
          </w:tcPr>
          <w:p w14:paraId="6546AD59">
            <w:pPr>
              <w:bidi w:val="0"/>
              <w:jc w:val="center"/>
              <w:rPr>
                <w:rFonts w:hint="eastAsia" w:ascii="宋体" w:hAnsi="宋体" w:eastAsia="宋体" w:cs="宋体"/>
                <w:color w:val="auto"/>
                <w:sz w:val="24"/>
                <w:szCs w:val="24"/>
              </w:rPr>
            </w:pPr>
          </w:p>
        </w:tc>
        <w:tc>
          <w:tcPr>
            <w:tcW w:w="1590" w:type="dxa"/>
            <w:noWrap w:val="0"/>
            <w:vAlign w:val="center"/>
          </w:tcPr>
          <w:p w14:paraId="0B43535C">
            <w:pPr>
              <w:bidi w:val="0"/>
              <w:jc w:val="center"/>
              <w:rPr>
                <w:rFonts w:hint="eastAsia" w:ascii="宋体" w:hAnsi="宋体" w:eastAsia="宋体" w:cs="宋体"/>
                <w:color w:val="auto"/>
                <w:sz w:val="24"/>
                <w:szCs w:val="24"/>
              </w:rPr>
            </w:pPr>
          </w:p>
        </w:tc>
        <w:tc>
          <w:tcPr>
            <w:tcW w:w="669" w:type="dxa"/>
            <w:noWrap w:val="0"/>
            <w:vAlign w:val="center"/>
          </w:tcPr>
          <w:p w14:paraId="3ACA9E2B">
            <w:pPr>
              <w:bidi w:val="0"/>
              <w:jc w:val="center"/>
              <w:rPr>
                <w:rFonts w:hint="eastAsia" w:ascii="宋体" w:hAnsi="宋体" w:eastAsia="宋体" w:cs="宋体"/>
                <w:color w:val="auto"/>
                <w:sz w:val="24"/>
                <w:szCs w:val="24"/>
              </w:rPr>
            </w:pPr>
          </w:p>
        </w:tc>
      </w:tr>
      <w:tr w14:paraId="00C2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35E6018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noWrap w:val="0"/>
            <w:vAlign w:val="center"/>
          </w:tcPr>
          <w:p w14:paraId="7C348B1B">
            <w:pPr>
              <w:bidi w:val="0"/>
              <w:jc w:val="center"/>
              <w:rPr>
                <w:rFonts w:hint="eastAsia" w:ascii="宋体" w:hAnsi="宋体" w:eastAsia="宋体" w:cs="宋体"/>
                <w:color w:val="auto"/>
                <w:sz w:val="24"/>
                <w:szCs w:val="24"/>
              </w:rPr>
            </w:pPr>
          </w:p>
        </w:tc>
        <w:tc>
          <w:tcPr>
            <w:tcW w:w="1412" w:type="dxa"/>
            <w:noWrap w:val="0"/>
            <w:vAlign w:val="center"/>
          </w:tcPr>
          <w:p w14:paraId="1875FD8E">
            <w:pPr>
              <w:bidi w:val="0"/>
              <w:jc w:val="center"/>
              <w:rPr>
                <w:rFonts w:hint="eastAsia" w:ascii="宋体" w:hAnsi="宋体" w:eastAsia="宋体" w:cs="宋体"/>
                <w:color w:val="auto"/>
                <w:sz w:val="24"/>
                <w:szCs w:val="24"/>
              </w:rPr>
            </w:pPr>
          </w:p>
        </w:tc>
        <w:tc>
          <w:tcPr>
            <w:tcW w:w="1663" w:type="dxa"/>
            <w:noWrap w:val="0"/>
            <w:vAlign w:val="center"/>
          </w:tcPr>
          <w:p w14:paraId="6829488C">
            <w:pPr>
              <w:bidi w:val="0"/>
              <w:jc w:val="center"/>
              <w:rPr>
                <w:rFonts w:hint="eastAsia" w:ascii="宋体" w:hAnsi="宋体" w:eastAsia="宋体" w:cs="宋体"/>
                <w:color w:val="auto"/>
                <w:sz w:val="24"/>
                <w:szCs w:val="24"/>
              </w:rPr>
            </w:pPr>
          </w:p>
        </w:tc>
        <w:tc>
          <w:tcPr>
            <w:tcW w:w="1562" w:type="dxa"/>
            <w:noWrap w:val="0"/>
            <w:vAlign w:val="center"/>
          </w:tcPr>
          <w:p w14:paraId="5D40BF7B">
            <w:pPr>
              <w:bidi w:val="0"/>
              <w:jc w:val="center"/>
              <w:rPr>
                <w:rFonts w:hint="eastAsia" w:ascii="宋体" w:hAnsi="宋体" w:eastAsia="宋体" w:cs="宋体"/>
                <w:color w:val="auto"/>
                <w:sz w:val="24"/>
                <w:szCs w:val="24"/>
              </w:rPr>
            </w:pPr>
          </w:p>
        </w:tc>
        <w:tc>
          <w:tcPr>
            <w:tcW w:w="1590" w:type="dxa"/>
            <w:noWrap w:val="0"/>
            <w:vAlign w:val="center"/>
          </w:tcPr>
          <w:p w14:paraId="57E90259">
            <w:pPr>
              <w:bidi w:val="0"/>
              <w:jc w:val="center"/>
              <w:rPr>
                <w:rFonts w:hint="eastAsia" w:ascii="宋体" w:hAnsi="宋体" w:eastAsia="宋体" w:cs="宋体"/>
                <w:color w:val="auto"/>
                <w:sz w:val="24"/>
                <w:szCs w:val="24"/>
              </w:rPr>
            </w:pPr>
          </w:p>
        </w:tc>
        <w:tc>
          <w:tcPr>
            <w:tcW w:w="669" w:type="dxa"/>
            <w:noWrap w:val="0"/>
            <w:vAlign w:val="center"/>
          </w:tcPr>
          <w:p w14:paraId="7943E972">
            <w:pPr>
              <w:bidi w:val="0"/>
              <w:jc w:val="center"/>
              <w:rPr>
                <w:rFonts w:hint="eastAsia" w:ascii="宋体" w:hAnsi="宋体" w:eastAsia="宋体" w:cs="宋体"/>
                <w:color w:val="auto"/>
                <w:sz w:val="24"/>
                <w:szCs w:val="24"/>
              </w:rPr>
            </w:pPr>
          </w:p>
        </w:tc>
      </w:tr>
      <w:tr w14:paraId="6B104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28AE3D8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noWrap w:val="0"/>
            <w:vAlign w:val="center"/>
          </w:tcPr>
          <w:p w14:paraId="7E6DC91E">
            <w:pPr>
              <w:bidi w:val="0"/>
              <w:jc w:val="center"/>
              <w:rPr>
                <w:rFonts w:hint="eastAsia" w:ascii="宋体" w:hAnsi="宋体" w:eastAsia="宋体" w:cs="宋体"/>
                <w:color w:val="auto"/>
                <w:sz w:val="24"/>
                <w:szCs w:val="24"/>
              </w:rPr>
            </w:pPr>
          </w:p>
        </w:tc>
        <w:tc>
          <w:tcPr>
            <w:tcW w:w="1412" w:type="dxa"/>
            <w:noWrap w:val="0"/>
            <w:vAlign w:val="center"/>
          </w:tcPr>
          <w:p w14:paraId="37DBFD93">
            <w:pPr>
              <w:bidi w:val="0"/>
              <w:jc w:val="center"/>
              <w:rPr>
                <w:rFonts w:hint="eastAsia" w:ascii="宋体" w:hAnsi="宋体" w:eastAsia="宋体" w:cs="宋体"/>
                <w:color w:val="auto"/>
                <w:sz w:val="24"/>
                <w:szCs w:val="24"/>
              </w:rPr>
            </w:pPr>
          </w:p>
        </w:tc>
        <w:tc>
          <w:tcPr>
            <w:tcW w:w="1663" w:type="dxa"/>
            <w:noWrap w:val="0"/>
            <w:vAlign w:val="center"/>
          </w:tcPr>
          <w:p w14:paraId="37BA0476">
            <w:pPr>
              <w:bidi w:val="0"/>
              <w:jc w:val="center"/>
              <w:rPr>
                <w:rFonts w:hint="eastAsia" w:ascii="宋体" w:hAnsi="宋体" w:eastAsia="宋体" w:cs="宋体"/>
                <w:color w:val="auto"/>
                <w:sz w:val="24"/>
                <w:szCs w:val="24"/>
              </w:rPr>
            </w:pPr>
          </w:p>
        </w:tc>
        <w:tc>
          <w:tcPr>
            <w:tcW w:w="1562" w:type="dxa"/>
            <w:noWrap w:val="0"/>
            <w:vAlign w:val="center"/>
          </w:tcPr>
          <w:p w14:paraId="591E2BA5">
            <w:pPr>
              <w:bidi w:val="0"/>
              <w:jc w:val="center"/>
              <w:rPr>
                <w:rFonts w:hint="eastAsia" w:ascii="宋体" w:hAnsi="宋体" w:eastAsia="宋体" w:cs="宋体"/>
                <w:color w:val="auto"/>
                <w:sz w:val="24"/>
                <w:szCs w:val="24"/>
              </w:rPr>
            </w:pPr>
          </w:p>
        </w:tc>
        <w:tc>
          <w:tcPr>
            <w:tcW w:w="1590" w:type="dxa"/>
            <w:noWrap w:val="0"/>
            <w:vAlign w:val="center"/>
          </w:tcPr>
          <w:p w14:paraId="2BCA2F08">
            <w:pPr>
              <w:bidi w:val="0"/>
              <w:jc w:val="center"/>
              <w:rPr>
                <w:rFonts w:hint="eastAsia" w:ascii="宋体" w:hAnsi="宋体" w:eastAsia="宋体" w:cs="宋体"/>
                <w:color w:val="auto"/>
                <w:sz w:val="24"/>
                <w:szCs w:val="24"/>
              </w:rPr>
            </w:pPr>
          </w:p>
        </w:tc>
        <w:tc>
          <w:tcPr>
            <w:tcW w:w="669" w:type="dxa"/>
            <w:noWrap w:val="0"/>
            <w:vAlign w:val="center"/>
          </w:tcPr>
          <w:p w14:paraId="7D9FEB23">
            <w:pPr>
              <w:bidi w:val="0"/>
              <w:jc w:val="center"/>
              <w:rPr>
                <w:rFonts w:hint="eastAsia" w:ascii="宋体" w:hAnsi="宋体" w:eastAsia="宋体" w:cs="宋体"/>
                <w:color w:val="auto"/>
                <w:sz w:val="24"/>
                <w:szCs w:val="24"/>
              </w:rPr>
            </w:pPr>
          </w:p>
        </w:tc>
      </w:tr>
      <w:tr w14:paraId="7BA52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27A3E80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noWrap w:val="0"/>
            <w:vAlign w:val="center"/>
          </w:tcPr>
          <w:p w14:paraId="188CB9B9">
            <w:pPr>
              <w:bidi w:val="0"/>
              <w:jc w:val="center"/>
              <w:rPr>
                <w:rFonts w:hint="eastAsia" w:ascii="宋体" w:hAnsi="宋体" w:eastAsia="宋体" w:cs="宋体"/>
                <w:color w:val="auto"/>
                <w:sz w:val="24"/>
                <w:szCs w:val="24"/>
              </w:rPr>
            </w:pPr>
          </w:p>
        </w:tc>
        <w:tc>
          <w:tcPr>
            <w:tcW w:w="1412" w:type="dxa"/>
            <w:noWrap w:val="0"/>
            <w:vAlign w:val="center"/>
          </w:tcPr>
          <w:p w14:paraId="0DA66524">
            <w:pPr>
              <w:bidi w:val="0"/>
              <w:jc w:val="center"/>
              <w:rPr>
                <w:rFonts w:hint="eastAsia" w:ascii="宋体" w:hAnsi="宋体" w:eastAsia="宋体" w:cs="宋体"/>
                <w:color w:val="auto"/>
                <w:sz w:val="24"/>
                <w:szCs w:val="24"/>
              </w:rPr>
            </w:pPr>
          </w:p>
        </w:tc>
        <w:tc>
          <w:tcPr>
            <w:tcW w:w="1663" w:type="dxa"/>
            <w:noWrap w:val="0"/>
            <w:vAlign w:val="center"/>
          </w:tcPr>
          <w:p w14:paraId="4E9F352E">
            <w:pPr>
              <w:bidi w:val="0"/>
              <w:jc w:val="center"/>
              <w:rPr>
                <w:rFonts w:hint="eastAsia" w:ascii="宋体" w:hAnsi="宋体" w:eastAsia="宋体" w:cs="宋体"/>
                <w:color w:val="auto"/>
                <w:sz w:val="24"/>
                <w:szCs w:val="24"/>
              </w:rPr>
            </w:pPr>
          </w:p>
        </w:tc>
        <w:tc>
          <w:tcPr>
            <w:tcW w:w="1562" w:type="dxa"/>
            <w:noWrap w:val="0"/>
            <w:vAlign w:val="center"/>
          </w:tcPr>
          <w:p w14:paraId="39B2E2AE">
            <w:pPr>
              <w:bidi w:val="0"/>
              <w:jc w:val="center"/>
              <w:rPr>
                <w:rFonts w:hint="eastAsia" w:ascii="宋体" w:hAnsi="宋体" w:eastAsia="宋体" w:cs="宋体"/>
                <w:color w:val="auto"/>
                <w:sz w:val="24"/>
                <w:szCs w:val="24"/>
              </w:rPr>
            </w:pPr>
          </w:p>
        </w:tc>
        <w:tc>
          <w:tcPr>
            <w:tcW w:w="1590" w:type="dxa"/>
            <w:noWrap w:val="0"/>
            <w:vAlign w:val="center"/>
          </w:tcPr>
          <w:p w14:paraId="4986EDD8">
            <w:pPr>
              <w:bidi w:val="0"/>
              <w:jc w:val="center"/>
              <w:rPr>
                <w:rFonts w:hint="eastAsia" w:ascii="宋体" w:hAnsi="宋体" w:eastAsia="宋体" w:cs="宋体"/>
                <w:color w:val="auto"/>
                <w:sz w:val="24"/>
                <w:szCs w:val="24"/>
              </w:rPr>
            </w:pPr>
          </w:p>
        </w:tc>
        <w:tc>
          <w:tcPr>
            <w:tcW w:w="669" w:type="dxa"/>
            <w:noWrap w:val="0"/>
            <w:vAlign w:val="center"/>
          </w:tcPr>
          <w:p w14:paraId="0EED7457">
            <w:pPr>
              <w:bidi w:val="0"/>
              <w:jc w:val="center"/>
              <w:rPr>
                <w:rFonts w:hint="eastAsia" w:ascii="宋体" w:hAnsi="宋体" w:eastAsia="宋体" w:cs="宋体"/>
                <w:color w:val="auto"/>
                <w:sz w:val="24"/>
                <w:szCs w:val="24"/>
              </w:rPr>
            </w:pPr>
          </w:p>
        </w:tc>
      </w:tr>
      <w:tr w14:paraId="5048A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17D78C2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noWrap w:val="0"/>
            <w:vAlign w:val="center"/>
          </w:tcPr>
          <w:p w14:paraId="574F9B90">
            <w:pPr>
              <w:bidi w:val="0"/>
              <w:jc w:val="center"/>
              <w:rPr>
                <w:rFonts w:hint="eastAsia" w:ascii="宋体" w:hAnsi="宋体" w:eastAsia="宋体" w:cs="宋体"/>
                <w:color w:val="auto"/>
                <w:sz w:val="24"/>
                <w:szCs w:val="24"/>
              </w:rPr>
            </w:pPr>
          </w:p>
        </w:tc>
        <w:tc>
          <w:tcPr>
            <w:tcW w:w="1412" w:type="dxa"/>
            <w:noWrap w:val="0"/>
            <w:vAlign w:val="center"/>
          </w:tcPr>
          <w:p w14:paraId="3A7801AA">
            <w:pPr>
              <w:bidi w:val="0"/>
              <w:jc w:val="center"/>
              <w:rPr>
                <w:rFonts w:hint="eastAsia" w:ascii="宋体" w:hAnsi="宋体" w:eastAsia="宋体" w:cs="宋体"/>
                <w:color w:val="auto"/>
                <w:sz w:val="24"/>
                <w:szCs w:val="24"/>
              </w:rPr>
            </w:pPr>
          </w:p>
        </w:tc>
        <w:tc>
          <w:tcPr>
            <w:tcW w:w="1663" w:type="dxa"/>
            <w:noWrap w:val="0"/>
            <w:vAlign w:val="center"/>
          </w:tcPr>
          <w:p w14:paraId="36DF9A1E">
            <w:pPr>
              <w:bidi w:val="0"/>
              <w:jc w:val="center"/>
              <w:rPr>
                <w:rFonts w:hint="eastAsia" w:ascii="宋体" w:hAnsi="宋体" w:eastAsia="宋体" w:cs="宋体"/>
                <w:color w:val="auto"/>
                <w:sz w:val="24"/>
                <w:szCs w:val="24"/>
              </w:rPr>
            </w:pPr>
          </w:p>
        </w:tc>
        <w:tc>
          <w:tcPr>
            <w:tcW w:w="1562" w:type="dxa"/>
            <w:noWrap w:val="0"/>
            <w:vAlign w:val="center"/>
          </w:tcPr>
          <w:p w14:paraId="6A7D0216">
            <w:pPr>
              <w:bidi w:val="0"/>
              <w:jc w:val="center"/>
              <w:rPr>
                <w:rFonts w:hint="eastAsia" w:ascii="宋体" w:hAnsi="宋体" w:eastAsia="宋体" w:cs="宋体"/>
                <w:color w:val="auto"/>
                <w:sz w:val="24"/>
                <w:szCs w:val="24"/>
              </w:rPr>
            </w:pPr>
          </w:p>
        </w:tc>
        <w:tc>
          <w:tcPr>
            <w:tcW w:w="1590" w:type="dxa"/>
            <w:noWrap w:val="0"/>
            <w:vAlign w:val="center"/>
          </w:tcPr>
          <w:p w14:paraId="4F34B969">
            <w:pPr>
              <w:bidi w:val="0"/>
              <w:jc w:val="center"/>
              <w:rPr>
                <w:rFonts w:hint="eastAsia" w:ascii="宋体" w:hAnsi="宋体" w:eastAsia="宋体" w:cs="宋体"/>
                <w:color w:val="auto"/>
                <w:sz w:val="24"/>
                <w:szCs w:val="24"/>
              </w:rPr>
            </w:pPr>
          </w:p>
        </w:tc>
        <w:tc>
          <w:tcPr>
            <w:tcW w:w="669" w:type="dxa"/>
            <w:noWrap w:val="0"/>
            <w:vAlign w:val="center"/>
          </w:tcPr>
          <w:p w14:paraId="58178D44">
            <w:pPr>
              <w:bidi w:val="0"/>
              <w:jc w:val="center"/>
              <w:rPr>
                <w:rFonts w:hint="eastAsia" w:ascii="宋体" w:hAnsi="宋体" w:eastAsia="宋体" w:cs="宋体"/>
                <w:color w:val="auto"/>
                <w:sz w:val="24"/>
                <w:szCs w:val="24"/>
              </w:rPr>
            </w:pPr>
          </w:p>
        </w:tc>
      </w:tr>
      <w:tr w14:paraId="40980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70690F4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noWrap w:val="0"/>
            <w:vAlign w:val="center"/>
          </w:tcPr>
          <w:p w14:paraId="14375140">
            <w:pPr>
              <w:bidi w:val="0"/>
              <w:jc w:val="center"/>
              <w:rPr>
                <w:rFonts w:hint="eastAsia" w:ascii="宋体" w:hAnsi="宋体" w:eastAsia="宋体" w:cs="宋体"/>
                <w:color w:val="auto"/>
                <w:sz w:val="24"/>
                <w:szCs w:val="24"/>
              </w:rPr>
            </w:pPr>
          </w:p>
        </w:tc>
        <w:tc>
          <w:tcPr>
            <w:tcW w:w="1412" w:type="dxa"/>
            <w:noWrap w:val="0"/>
            <w:vAlign w:val="center"/>
          </w:tcPr>
          <w:p w14:paraId="75C120C0">
            <w:pPr>
              <w:bidi w:val="0"/>
              <w:jc w:val="center"/>
              <w:rPr>
                <w:rFonts w:hint="eastAsia" w:ascii="宋体" w:hAnsi="宋体" w:eastAsia="宋体" w:cs="宋体"/>
                <w:color w:val="auto"/>
                <w:sz w:val="24"/>
                <w:szCs w:val="24"/>
              </w:rPr>
            </w:pPr>
          </w:p>
        </w:tc>
        <w:tc>
          <w:tcPr>
            <w:tcW w:w="1663" w:type="dxa"/>
            <w:noWrap w:val="0"/>
            <w:vAlign w:val="center"/>
          </w:tcPr>
          <w:p w14:paraId="528A92A1">
            <w:pPr>
              <w:bidi w:val="0"/>
              <w:jc w:val="center"/>
              <w:rPr>
                <w:rFonts w:hint="eastAsia" w:ascii="宋体" w:hAnsi="宋体" w:eastAsia="宋体" w:cs="宋体"/>
                <w:color w:val="auto"/>
                <w:sz w:val="24"/>
                <w:szCs w:val="24"/>
              </w:rPr>
            </w:pPr>
          </w:p>
        </w:tc>
        <w:tc>
          <w:tcPr>
            <w:tcW w:w="1562" w:type="dxa"/>
            <w:noWrap w:val="0"/>
            <w:vAlign w:val="center"/>
          </w:tcPr>
          <w:p w14:paraId="4A96512A">
            <w:pPr>
              <w:bidi w:val="0"/>
              <w:jc w:val="center"/>
              <w:rPr>
                <w:rFonts w:hint="eastAsia" w:ascii="宋体" w:hAnsi="宋体" w:eastAsia="宋体" w:cs="宋体"/>
                <w:color w:val="auto"/>
                <w:sz w:val="24"/>
                <w:szCs w:val="24"/>
              </w:rPr>
            </w:pPr>
          </w:p>
        </w:tc>
        <w:tc>
          <w:tcPr>
            <w:tcW w:w="1590" w:type="dxa"/>
            <w:noWrap w:val="0"/>
            <w:vAlign w:val="center"/>
          </w:tcPr>
          <w:p w14:paraId="221E202E">
            <w:pPr>
              <w:bidi w:val="0"/>
              <w:jc w:val="center"/>
              <w:rPr>
                <w:rFonts w:hint="eastAsia" w:ascii="宋体" w:hAnsi="宋体" w:eastAsia="宋体" w:cs="宋体"/>
                <w:color w:val="auto"/>
                <w:sz w:val="24"/>
                <w:szCs w:val="24"/>
              </w:rPr>
            </w:pPr>
          </w:p>
        </w:tc>
        <w:tc>
          <w:tcPr>
            <w:tcW w:w="669" w:type="dxa"/>
            <w:noWrap w:val="0"/>
            <w:vAlign w:val="center"/>
          </w:tcPr>
          <w:p w14:paraId="0B541960">
            <w:pPr>
              <w:bidi w:val="0"/>
              <w:jc w:val="center"/>
              <w:rPr>
                <w:rFonts w:hint="eastAsia" w:ascii="宋体" w:hAnsi="宋体" w:eastAsia="宋体" w:cs="宋体"/>
                <w:color w:val="auto"/>
                <w:sz w:val="24"/>
                <w:szCs w:val="24"/>
              </w:rPr>
            </w:pPr>
          </w:p>
        </w:tc>
      </w:tr>
      <w:tr w14:paraId="28859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noWrap w:val="0"/>
            <w:vAlign w:val="center"/>
          </w:tcPr>
          <w:p w14:paraId="3E64D4B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CDB404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noWrap w:val="0"/>
            <w:vAlign w:val="center"/>
          </w:tcPr>
          <w:p w14:paraId="12404628">
            <w:pPr>
              <w:bidi w:val="0"/>
              <w:jc w:val="center"/>
              <w:rPr>
                <w:rFonts w:hint="eastAsia" w:ascii="宋体" w:hAnsi="宋体" w:eastAsia="宋体" w:cs="宋体"/>
                <w:color w:val="auto"/>
                <w:sz w:val="24"/>
                <w:szCs w:val="24"/>
              </w:rPr>
            </w:pPr>
          </w:p>
        </w:tc>
        <w:tc>
          <w:tcPr>
            <w:tcW w:w="1412" w:type="dxa"/>
            <w:noWrap w:val="0"/>
            <w:vAlign w:val="center"/>
          </w:tcPr>
          <w:p w14:paraId="349CC673">
            <w:pPr>
              <w:bidi w:val="0"/>
              <w:jc w:val="center"/>
              <w:rPr>
                <w:rFonts w:hint="eastAsia" w:ascii="宋体" w:hAnsi="宋体" w:eastAsia="宋体" w:cs="宋体"/>
                <w:color w:val="auto"/>
                <w:sz w:val="24"/>
                <w:szCs w:val="24"/>
              </w:rPr>
            </w:pPr>
          </w:p>
        </w:tc>
        <w:tc>
          <w:tcPr>
            <w:tcW w:w="1663" w:type="dxa"/>
            <w:noWrap w:val="0"/>
            <w:vAlign w:val="center"/>
          </w:tcPr>
          <w:p w14:paraId="21C07D79">
            <w:pPr>
              <w:bidi w:val="0"/>
              <w:jc w:val="center"/>
              <w:rPr>
                <w:rFonts w:hint="eastAsia" w:ascii="宋体" w:hAnsi="宋体" w:eastAsia="宋体" w:cs="宋体"/>
                <w:color w:val="auto"/>
                <w:sz w:val="24"/>
                <w:szCs w:val="24"/>
              </w:rPr>
            </w:pPr>
          </w:p>
        </w:tc>
        <w:tc>
          <w:tcPr>
            <w:tcW w:w="1562" w:type="dxa"/>
            <w:noWrap w:val="0"/>
            <w:vAlign w:val="center"/>
          </w:tcPr>
          <w:p w14:paraId="0403F5C5">
            <w:pPr>
              <w:bidi w:val="0"/>
              <w:jc w:val="center"/>
              <w:rPr>
                <w:rFonts w:hint="eastAsia" w:ascii="宋体" w:hAnsi="宋体" w:eastAsia="宋体" w:cs="宋体"/>
                <w:color w:val="auto"/>
                <w:sz w:val="24"/>
                <w:szCs w:val="24"/>
              </w:rPr>
            </w:pPr>
          </w:p>
        </w:tc>
        <w:tc>
          <w:tcPr>
            <w:tcW w:w="1590" w:type="dxa"/>
            <w:noWrap w:val="0"/>
            <w:vAlign w:val="center"/>
          </w:tcPr>
          <w:p w14:paraId="66074293">
            <w:pPr>
              <w:bidi w:val="0"/>
              <w:jc w:val="center"/>
              <w:rPr>
                <w:rFonts w:hint="eastAsia" w:ascii="宋体" w:hAnsi="宋体" w:eastAsia="宋体" w:cs="宋体"/>
                <w:color w:val="auto"/>
                <w:sz w:val="24"/>
                <w:szCs w:val="24"/>
              </w:rPr>
            </w:pPr>
          </w:p>
        </w:tc>
        <w:tc>
          <w:tcPr>
            <w:tcW w:w="669" w:type="dxa"/>
            <w:noWrap w:val="0"/>
            <w:vAlign w:val="center"/>
          </w:tcPr>
          <w:p w14:paraId="0F9E4AF3">
            <w:pPr>
              <w:bidi w:val="0"/>
              <w:jc w:val="center"/>
              <w:rPr>
                <w:rFonts w:hint="eastAsia" w:ascii="宋体" w:hAnsi="宋体" w:eastAsia="宋体" w:cs="宋体"/>
                <w:color w:val="auto"/>
                <w:sz w:val="24"/>
                <w:szCs w:val="24"/>
              </w:rPr>
            </w:pPr>
          </w:p>
        </w:tc>
      </w:tr>
    </w:tbl>
    <w:p w14:paraId="2323C349">
      <w:pPr>
        <w:outlineLvl w:val="9"/>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76066DC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B4F8DAD">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2AE7C679">
      <w:pPr>
        <w:spacing w:before="182" w:line="220" w:lineRule="auto"/>
        <w:ind w:left="3334"/>
        <w:outlineLvl w:val="0"/>
        <w:rPr>
          <w:rFonts w:hint="eastAsia" w:ascii="宋体" w:hAnsi="宋体" w:eastAsia="宋体" w:cs="宋体"/>
          <w:color w:val="auto"/>
          <w:sz w:val="24"/>
          <w:szCs w:val="24"/>
        </w:rPr>
      </w:pPr>
      <w:bookmarkStart w:id="84" w:name="_Toc27185"/>
      <w:bookmarkStart w:id="85" w:name="_Toc11972"/>
      <w:bookmarkStart w:id="86" w:name="_Toc19855"/>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资格条件承诺函（格式）</w:t>
      </w:r>
      <w:bookmarkEnd w:id="84"/>
      <w:bookmarkEnd w:id="85"/>
      <w:bookmarkEnd w:id="86"/>
    </w:p>
    <w:p w14:paraId="2E39229E">
      <w:pPr>
        <w:pStyle w:val="5"/>
        <w:spacing w:line="411" w:lineRule="auto"/>
        <w:outlineLvl w:val="9"/>
        <w:rPr>
          <w:rFonts w:hint="eastAsia" w:ascii="宋体" w:hAnsi="宋体" w:eastAsia="宋体" w:cs="宋体"/>
          <w:color w:val="auto"/>
        </w:rPr>
      </w:pPr>
    </w:p>
    <w:p w14:paraId="77D8A6AB">
      <w:pPr>
        <w:spacing w:before="78"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致: </w:t>
      </w:r>
      <w:r>
        <w:rPr>
          <w:rFonts w:hint="eastAsia" w:ascii="宋体" w:hAnsi="宋体" w:eastAsia="宋体" w:cs="宋体"/>
          <w:color w:val="auto"/>
          <w:spacing w:val="-1"/>
          <w:sz w:val="24"/>
          <w:szCs w:val="24"/>
          <w:u w:val="single" w:color="auto"/>
        </w:rPr>
        <w:t>（采购人、采购代理机构</w:t>
      </w:r>
      <w:r>
        <w:rPr>
          <w:rFonts w:hint="eastAsia" w:ascii="宋体" w:hAnsi="宋体" w:eastAsia="宋体" w:cs="宋体"/>
          <w:color w:val="auto"/>
          <w:spacing w:val="16"/>
          <w:sz w:val="24"/>
          <w:szCs w:val="24"/>
          <w:u w:val="single" w:color="auto"/>
        </w:rPr>
        <w:t>）；</w:t>
      </w:r>
    </w:p>
    <w:p w14:paraId="2C02E0EE">
      <w:pPr>
        <w:spacing w:before="180" w:line="360" w:lineRule="auto"/>
        <w:jc w:val="right"/>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我单位（公司）参与</w:t>
      </w:r>
      <w:r>
        <w:rPr>
          <w:rFonts w:hint="eastAsia" w:ascii="宋体" w:hAnsi="宋体" w:eastAsia="宋体" w:cs="宋体"/>
          <w:color w:val="auto"/>
          <w:spacing w:val="1"/>
          <w:sz w:val="24"/>
          <w:szCs w:val="24"/>
          <w:u w:val="single" w:color="auto"/>
        </w:rPr>
        <w:t>（采购项目名称   项目编号）</w:t>
      </w:r>
      <w:r>
        <w:rPr>
          <w:rFonts w:hint="eastAsia" w:ascii="宋体" w:hAnsi="宋体" w:eastAsia="宋体" w:cs="宋体"/>
          <w:color w:val="auto"/>
          <w:spacing w:val="1"/>
          <w:sz w:val="24"/>
          <w:szCs w:val="24"/>
        </w:rPr>
        <w:t>采购项目的政府采购活动，现承</w:t>
      </w:r>
    </w:p>
    <w:p w14:paraId="228C42DB">
      <w:pPr>
        <w:spacing w:before="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诺如下:</w:t>
      </w:r>
    </w:p>
    <w:p w14:paraId="5ADCB1AD">
      <w:pPr>
        <w:spacing w:before="180" w:line="466"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1.具有良好的商业信誉和健全的财务会计制度；</w:t>
      </w:r>
    </w:p>
    <w:p w14:paraId="51EC7EA6">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2.具有依法缴纳税收的良好记录；</w:t>
      </w:r>
    </w:p>
    <w:p w14:paraId="5F5BEA1E">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3.具有依法缴纳社会保障金的良好记录。</w:t>
      </w:r>
    </w:p>
    <w:p w14:paraId="6E8A449C">
      <w:pPr>
        <w:spacing w:before="181" w:line="359" w:lineRule="auto"/>
        <w:ind w:firstLine="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rPr>
        <w:t>资格条件。</w:t>
      </w:r>
    </w:p>
    <w:p w14:paraId="1A289CB7">
      <w:pPr>
        <w:spacing w:before="182" w:line="465" w:lineRule="exact"/>
        <w:ind w:left="481"/>
        <w:outlineLvl w:val="9"/>
        <w:rPr>
          <w:rFonts w:hint="eastAsia" w:ascii="宋体" w:hAnsi="宋体" w:eastAsia="宋体" w:cs="宋体"/>
          <w:color w:val="auto"/>
          <w:spacing w:val="-1"/>
          <w:position w:val="17"/>
          <w:sz w:val="24"/>
          <w:szCs w:val="24"/>
        </w:rPr>
      </w:pPr>
      <w:r>
        <w:rPr>
          <w:rFonts w:hint="eastAsia" w:ascii="宋体" w:hAnsi="宋体" w:eastAsia="宋体" w:cs="宋体"/>
          <w:color w:val="auto"/>
          <w:position w:val="17"/>
          <w:sz w:val="24"/>
          <w:szCs w:val="24"/>
        </w:rPr>
        <w:t>我单位（公司）对上述承诺的真实性负责。如有</w:t>
      </w:r>
      <w:r>
        <w:rPr>
          <w:rFonts w:hint="eastAsia" w:ascii="宋体" w:hAnsi="宋体" w:eastAsia="宋体" w:cs="宋体"/>
          <w:color w:val="auto"/>
          <w:spacing w:val="-1"/>
          <w:position w:val="17"/>
          <w:sz w:val="24"/>
          <w:szCs w:val="24"/>
        </w:rPr>
        <w:t>虚假，将依法承担相应责任。</w:t>
      </w:r>
    </w:p>
    <w:p w14:paraId="1BCA54A4">
      <w:pPr>
        <w:spacing w:before="182" w:line="465"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特此承诺。</w:t>
      </w:r>
    </w:p>
    <w:p w14:paraId="5A24BD37">
      <w:pPr>
        <w:pStyle w:val="5"/>
        <w:spacing w:line="283" w:lineRule="auto"/>
        <w:outlineLvl w:val="9"/>
        <w:rPr>
          <w:rFonts w:hint="eastAsia" w:ascii="宋体" w:hAnsi="宋体" w:eastAsia="宋体" w:cs="宋体"/>
          <w:color w:val="auto"/>
        </w:rPr>
      </w:pPr>
    </w:p>
    <w:p w14:paraId="2DDDCBB7">
      <w:pPr>
        <w:pStyle w:val="5"/>
        <w:spacing w:line="283" w:lineRule="auto"/>
        <w:outlineLvl w:val="9"/>
        <w:rPr>
          <w:rFonts w:hint="eastAsia" w:ascii="宋体" w:hAnsi="宋体" w:eastAsia="宋体" w:cs="宋体"/>
          <w:color w:val="auto"/>
        </w:rPr>
      </w:pPr>
    </w:p>
    <w:p w14:paraId="0EBDA6D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投标人名称：</w:t>
      </w:r>
      <w:r>
        <w:rPr>
          <w:rFonts w:hint="eastAsia" w:ascii="宋体" w:hAnsi="宋体" w:eastAsia="宋体" w:cs="宋体"/>
          <w:color w:val="auto"/>
          <w:spacing w:val="-4"/>
          <w:sz w:val="24"/>
          <w:szCs w:val="24"/>
          <w:lang w:val="en-US" w:eastAsia="zh-CN"/>
        </w:rPr>
        <w:t xml:space="preserve">                       </w:t>
      </w:r>
      <w:r>
        <w:rPr>
          <w:rFonts w:hint="eastAsia" w:ascii="宋体" w:hAnsi="宋体" w:eastAsia="宋体" w:cs="宋体"/>
          <w:color w:val="auto"/>
          <w:spacing w:val="-4"/>
          <w:sz w:val="24"/>
          <w:szCs w:val="24"/>
        </w:rPr>
        <w:t>（盖章）</w:t>
      </w:r>
    </w:p>
    <w:p w14:paraId="222E570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法定代表人（单位负责人）或委托代理人：          （签字并盖章）</w:t>
      </w:r>
    </w:p>
    <w:p w14:paraId="45338AF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9"/>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2EBA69C0">
      <w:pPr>
        <w:keepNext w:val="0"/>
        <w:keepLines w:val="0"/>
        <w:pageBreakBefore w:val="0"/>
        <w:widowControl/>
        <w:kinsoku w:val="0"/>
        <w:wordWrap/>
        <w:overflowPunct/>
        <w:topLinePunct w:val="0"/>
        <w:autoSpaceDE w:val="0"/>
        <w:autoSpaceDN w:val="0"/>
        <w:bidi w:val="0"/>
        <w:adjustRightInd w:val="0"/>
        <w:snapToGrid w:val="0"/>
        <w:spacing w:after="0" w:afterLines="50"/>
        <w:jc w:val="center"/>
        <w:textAlignment w:val="baseline"/>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17"/>
          <w:sz w:val="24"/>
          <w:szCs w:val="24"/>
        </w:rPr>
        <w:br w:type="page"/>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承诺书</w:t>
      </w:r>
    </w:p>
    <w:p w14:paraId="6808DB4D">
      <w:pPr>
        <w:spacing w:before="181" w:line="359" w:lineRule="auto"/>
        <w:ind w:firstLine="481"/>
        <w:outlineLvl w:val="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我单位承诺未被</w:t>
      </w:r>
      <w:r>
        <w:rPr>
          <w:rFonts w:hint="eastAsia" w:ascii="宋体" w:hAnsi="宋体" w:eastAsia="宋体" w:cs="宋体"/>
          <w:color w:val="auto"/>
          <w:spacing w:val="-2"/>
          <w:sz w:val="24"/>
          <w:szCs w:val="24"/>
        </w:rPr>
        <w:t>列入政府取消投标资格记录期间的企业或个人投标。</w:t>
      </w:r>
      <w:r>
        <w:rPr>
          <w:rFonts w:hint="eastAsia" w:ascii="宋体" w:hAnsi="宋体" w:eastAsia="宋体" w:cs="宋体"/>
          <w:color w:val="auto"/>
          <w:spacing w:val="-2"/>
          <w:sz w:val="24"/>
          <w:szCs w:val="24"/>
          <w:lang w:eastAsia="zh-CN"/>
        </w:rPr>
        <w:t>不存在</w:t>
      </w:r>
      <w:r>
        <w:rPr>
          <w:rFonts w:hint="eastAsia" w:ascii="宋体" w:hAnsi="宋体" w:eastAsia="宋体" w:cs="宋体"/>
          <w:color w:val="auto"/>
          <w:spacing w:val="-2"/>
          <w:sz w:val="24"/>
          <w:szCs w:val="24"/>
        </w:rPr>
        <w:t>“信用中国”网站（www.creditchina.gov.cn）中列入失信被执行人和重大税收违法失信主体的供应商，</w:t>
      </w:r>
      <w:r>
        <w:rPr>
          <w:rFonts w:hint="eastAsia" w:ascii="宋体" w:hAnsi="宋体" w:eastAsia="宋体" w:cs="宋体"/>
          <w:color w:val="auto"/>
          <w:spacing w:val="-2"/>
          <w:sz w:val="24"/>
          <w:szCs w:val="24"/>
          <w:lang w:eastAsia="zh-CN"/>
        </w:rPr>
        <w:t>不存在</w:t>
      </w:r>
      <w:r>
        <w:rPr>
          <w:rFonts w:hint="eastAsia" w:ascii="宋体" w:hAnsi="宋体" w:eastAsia="宋体" w:cs="宋体"/>
          <w:color w:val="auto"/>
          <w:spacing w:val="-2"/>
          <w:sz w:val="24"/>
          <w:szCs w:val="24"/>
        </w:rPr>
        <w:t>中国政府采购网（www.ccgp.gov.cn）政府采购严重违法失信行为记录名单中被财政部门禁止参加政府采购活动的供应商（在处罚决定规定的时间和地域范围内）（详见财库【2016】125号文）。</w:t>
      </w:r>
    </w:p>
    <w:p w14:paraId="53269EF0">
      <w:pPr>
        <w:spacing w:before="181" w:line="359" w:lineRule="auto"/>
        <w:ind w:firstLine="481"/>
        <w:outlineLvl w:val="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不存在</w:t>
      </w:r>
      <w:r>
        <w:rPr>
          <w:rFonts w:hint="eastAsia" w:ascii="宋体" w:hAnsi="宋体" w:eastAsia="宋体" w:cs="宋体"/>
          <w:color w:val="auto"/>
          <w:spacing w:val="-2"/>
          <w:sz w:val="24"/>
          <w:szCs w:val="24"/>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3C11BC11">
      <w:pPr>
        <w:spacing w:before="181" w:line="359" w:lineRule="auto"/>
        <w:ind w:firstLine="481"/>
        <w:outlineLvl w:val="9"/>
        <w:rPr>
          <w:rFonts w:hint="eastAsia" w:ascii="宋体" w:hAnsi="宋体" w:eastAsia="宋体" w:cs="宋体"/>
          <w:color w:val="auto"/>
          <w:spacing w:val="-2"/>
          <w:sz w:val="24"/>
          <w:szCs w:val="24"/>
          <w:lang w:eastAsia="zh-CN"/>
        </w:rPr>
      </w:pPr>
    </w:p>
    <w:p w14:paraId="76A5027F">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投标人名称</w:t>
      </w:r>
      <w:r>
        <w:rPr>
          <w:rFonts w:hint="eastAsia" w:ascii="宋体" w:hAnsi="宋体" w:eastAsia="宋体" w:cs="宋体"/>
          <w:color w:val="auto"/>
          <w:spacing w:val="-17"/>
          <w:sz w:val="24"/>
          <w:szCs w:val="24"/>
        </w:rPr>
        <w:t>：</w:t>
      </w:r>
      <w:r>
        <w:rPr>
          <w:rFonts w:hint="eastAsia" w:ascii="宋体" w:hAnsi="宋体" w:eastAsia="宋体" w:cs="宋体"/>
          <w:color w:val="auto"/>
          <w:spacing w:val="-17"/>
          <w:sz w:val="24"/>
          <w:szCs w:val="24"/>
          <w:lang w:val="en-US" w:eastAsia="zh-CN"/>
        </w:rPr>
        <w:t xml:space="preserve">               </w:t>
      </w:r>
      <w:r>
        <w:rPr>
          <w:rFonts w:hint="eastAsia" w:ascii="宋体" w:hAnsi="宋体" w:eastAsia="宋体" w:cs="宋体"/>
          <w:color w:val="auto"/>
          <w:spacing w:val="-17"/>
          <w:sz w:val="24"/>
          <w:szCs w:val="24"/>
          <w:lang w:eastAsia="zh-CN"/>
        </w:rPr>
        <w:t>（盖章）</w:t>
      </w:r>
    </w:p>
    <w:p w14:paraId="088EC924">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法定代表人（单位负责人）或委托代理人：          （签字并盖章）：</w:t>
      </w:r>
    </w:p>
    <w:p w14:paraId="59658F59">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6F47EC7E">
      <w:pPr>
        <w:rPr>
          <w:rFonts w:hint="eastAsia" w:ascii="宋体" w:hAnsi="宋体" w:eastAsia="宋体" w:cs="宋体"/>
          <w:color w:val="auto"/>
          <w:spacing w:val="-17"/>
          <w:sz w:val="24"/>
          <w:szCs w:val="24"/>
        </w:rPr>
      </w:pPr>
    </w:p>
    <w:p w14:paraId="3BBA04BD">
      <w:pPr>
        <w:rPr>
          <w:rFonts w:hint="eastAsia" w:ascii="宋体" w:hAnsi="宋体" w:eastAsia="宋体" w:cs="宋体"/>
          <w:color w:val="auto"/>
          <w:spacing w:val="-17"/>
          <w:sz w:val="24"/>
          <w:szCs w:val="24"/>
        </w:rPr>
      </w:pPr>
    </w:p>
    <w:p w14:paraId="372FDFF4">
      <w:pPr>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后附截图：</w:t>
      </w:r>
    </w:p>
    <w:p w14:paraId="5FCF63F3">
      <w:pPr>
        <w:rPr>
          <w:rFonts w:hint="eastAsia" w:ascii="宋体" w:hAnsi="宋体" w:eastAsia="宋体" w:cs="宋体"/>
          <w:color w:val="auto"/>
          <w:spacing w:val="-17"/>
          <w:sz w:val="24"/>
          <w:szCs w:val="24"/>
          <w:lang w:eastAsia="zh-CN"/>
        </w:rPr>
      </w:pPr>
    </w:p>
    <w:p w14:paraId="45801C47">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1</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“信用中国”网站（www.creditchina.gov.cn）中列入失信被执行人</w:t>
      </w:r>
    </w:p>
    <w:p w14:paraId="21DAD3DD">
      <w:pPr>
        <w:ind w:left="412" w:hanging="412" w:hangingChars="200"/>
        <w:rPr>
          <w:rFonts w:hint="eastAsia" w:ascii="宋体" w:hAnsi="宋体" w:eastAsia="宋体" w:cs="宋体"/>
          <w:color w:val="auto"/>
          <w:spacing w:val="-17"/>
          <w:sz w:val="24"/>
          <w:szCs w:val="24"/>
        </w:rPr>
      </w:pPr>
    </w:p>
    <w:p w14:paraId="4E65AF52">
      <w:pPr>
        <w:ind w:left="412" w:hanging="412" w:hangingChars="200"/>
        <w:rPr>
          <w:rFonts w:hint="eastAsia" w:ascii="宋体" w:hAnsi="宋体" w:eastAsia="宋体" w:cs="宋体"/>
          <w:color w:val="auto"/>
          <w:spacing w:val="-17"/>
          <w:sz w:val="24"/>
          <w:szCs w:val="24"/>
          <w:lang w:eastAsia="zh-CN"/>
        </w:rPr>
      </w:pPr>
    </w:p>
    <w:p w14:paraId="239E3306">
      <w:pPr>
        <w:ind w:left="412" w:hanging="412" w:hangingChars="200"/>
        <w:rPr>
          <w:rFonts w:hint="eastAsia" w:ascii="宋体" w:hAnsi="宋体" w:eastAsia="宋体" w:cs="宋体"/>
          <w:color w:val="auto"/>
          <w:spacing w:val="-17"/>
          <w:sz w:val="24"/>
          <w:szCs w:val="24"/>
          <w:lang w:eastAsia="zh-CN"/>
        </w:rPr>
      </w:pPr>
    </w:p>
    <w:p w14:paraId="36D563E9">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2</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重大税收违法失信主体</w:t>
      </w:r>
    </w:p>
    <w:p w14:paraId="7514B3A1">
      <w:pPr>
        <w:ind w:left="412" w:hanging="412" w:hangingChars="200"/>
        <w:rPr>
          <w:rFonts w:hint="eastAsia" w:ascii="宋体" w:hAnsi="宋体" w:eastAsia="宋体" w:cs="宋体"/>
          <w:color w:val="auto"/>
          <w:spacing w:val="-17"/>
          <w:sz w:val="24"/>
          <w:szCs w:val="24"/>
          <w:lang w:eastAsia="zh-CN"/>
        </w:rPr>
      </w:pPr>
    </w:p>
    <w:p w14:paraId="38B1D222">
      <w:pPr>
        <w:ind w:left="412" w:hanging="412" w:hangingChars="200"/>
        <w:rPr>
          <w:rFonts w:hint="eastAsia" w:ascii="宋体" w:hAnsi="宋体" w:eastAsia="宋体" w:cs="宋体"/>
          <w:color w:val="auto"/>
          <w:spacing w:val="-17"/>
          <w:sz w:val="24"/>
          <w:szCs w:val="24"/>
          <w:lang w:eastAsia="zh-CN"/>
        </w:rPr>
      </w:pPr>
    </w:p>
    <w:p w14:paraId="5EE5B399">
      <w:pPr>
        <w:ind w:left="412" w:hanging="412" w:hangingChars="200"/>
        <w:rPr>
          <w:rFonts w:hint="eastAsia" w:ascii="宋体" w:hAnsi="宋体" w:eastAsia="宋体" w:cs="宋体"/>
          <w:color w:val="auto"/>
          <w:spacing w:val="-17"/>
          <w:sz w:val="24"/>
          <w:szCs w:val="24"/>
          <w:lang w:eastAsia="zh-CN"/>
        </w:rPr>
      </w:pPr>
    </w:p>
    <w:p w14:paraId="4313D545">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3</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中国政府采购网（www.ccgp.gov.cn）政府采购严重违法失信行为记录名单</w:t>
      </w:r>
    </w:p>
    <w:p w14:paraId="23BCE7CC">
      <w:pPr>
        <w:ind w:left="412" w:hanging="412" w:hangingChars="200"/>
        <w:rPr>
          <w:rFonts w:hint="eastAsia" w:ascii="宋体" w:hAnsi="宋体" w:eastAsia="宋体" w:cs="宋体"/>
          <w:color w:val="auto"/>
          <w:spacing w:val="-17"/>
          <w:sz w:val="24"/>
          <w:szCs w:val="24"/>
          <w:lang w:eastAsia="zh-CN"/>
        </w:rPr>
      </w:pPr>
    </w:p>
    <w:p w14:paraId="77D1AD8A">
      <w:pPr>
        <w:ind w:left="412" w:hanging="412" w:hangingChars="200"/>
        <w:rPr>
          <w:rFonts w:hint="eastAsia" w:ascii="宋体" w:hAnsi="宋体" w:eastAsia="宋体" w:cs="宋体"/>
          <w:color w:val="auto"/>
          <w:spacing w:val="-17"/>
          <w:sz w:val="24"/>
          <w:szCs w:val="24"/>
          <w:lang w:eastAsia="zh-CN"/>
        </w:rPr>
      </w:pPr>
    </w:p>
    <w:p w14:paraId="65A82FED">
      <w:pPr>
        <w:ind w:left="412" w:hanging="412" w:hangingChars="200"/>
        <w:rPr>
          <w:rFonts w:hint="eastAsia" w:ascii="宋体" w:hAnsi="宋体" w:eastAsia="宋体" w:cs="宋体"/>
          <w:color w:val="auto"/>
          <w:spacing w:val="-17"/>
          <w:sz w:val="24"/>
          <w:szCs w:val="24"/>
          <w:lang w:eastAsia="zh-CN"/>
        </w:rPr>
      </w:pPr>
    </w:p>
    <w:p w14:paraId="5F226C8B">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4</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其他</w:t>
      </w:r>
      <w:r>
        <w:rPr>
          <w:rFonts w:hint="eastAsia" w:ascii="宋体" w:hAnsi="宋体" w:eastAsia="宋体" w:cs="宋体"/>
          <w:color w:val="auto"/>
          <w:spacing w:val="-17"/>
          <w:sz w:val="24"/>
          <w:szCs w:val="24"/>
        </w:rPr>
        <w:br w:type="page"/>
      </w:r>
    </w:p>
    <w:p w14:paraId="1A8482FD">
      <w:pPr>
        <w:rPr>
          <w:rFonts w:hint="eastAsia" w:ascii="宋体" w:hAnsi="宋体" w:eastAsia="宋体" w:cs="宋体"/>
          <w:color w:val="auto"/>
          <w:spacing w:val="-17"/>
          <w:sz w:val="24"/>
          <w:szCs w:val="24"/>
        </w:rPr>
      </w:pPr>
    </w:p>
    <w:p w14:paraId="38B2D6C4">
      <w:pPr>
        <w:keepNext w:val="0"/>
        <w:keepLines w:val="0"/>
        <w:widowControl/>
        <w:suppressLineNumbers w:val="0"/>
        <w:jc w:val="left"/>
        <w:outlineLvl w:val="2"/>
        <w:rPr>
          <w:color w:val="auto"/>
          <w:highlight w:val="none"/>
        </w:rPr>
      </w:pP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十二：</w:t>
      </w:r>
      <w:r>
        <w:rPr>
          <w:rFonts w:hint="default"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制造商（境内总代理商）授权书</w:t>
      </w:r>
      <w:r>
        <w:rPr>
          <w:rFonts w:hint="eastAsia"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（本项目不适用）</w:t>
      </w:r>
    </w:p>
    <w:p w14:paraId="6634284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p>
    <w:p w14:paraId="73EBEC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对于接受进口产品投标的品目且</w:t>
      </w:r>
      <w:r>
        <w:rPr>
          <w:rFonts w:hint="eastAsia" w:ascii="宋体" w:hAnsi="宋体" w:cs="宋体"/>
          <w:b w:val="0"/>
          <w:bCs w:val="0"/>
          <w:color w:val="auto"/>
          <w:kern w:val="0"/>
          <w:sz w:val="21"/>
          <w:szCs w:val="21"/>
          <w:highlight w:val="none"/>
          <w:lang w:val="en-US" w:eastAsia="zh-CN" w:bidi="ar"/>
        </w:rPr>
        <w:t>投标人</w:t>
      </w:r>
      <w:r>
        <w:rPr>
          <w:rFonts w:hint="eastAsia" w:ascii="宋体" w:hAnsi="宋体" w:eastAsia="宋体" w:cs="宋体"/>
          <w:b w:val="0"/>
          <w:bCs w:val="0"/>
          <w:color w:val="auto"/>
          <w:kern w:val="0"/>
          <w:sz w:val="21"/>
          <w:szCs w:val="21"/>
          <w:highlight w:val="none"/>
          <w:lang w:val="en-US" w:eastAsia="zh-CN" w:bidi="ar"/>
        </w:rPr>
        <w:t>以进口产品参加投标时，如投标货物非</w:t>
      </w:r>
      <w:r>
        <w:rPr>
          <w:rFonts w:hint="eastAsia" w:ascii="宋体" w:hAnsi="宋体" w:cs="宋体"/>
          <w:b w:val="0"/>
          <w:bCs w:val="0"/>
          <w:color w:val="auto"/>
          <w:kern w:val="0"/>
          <w:sz w:val="21"/>
          <w:szCs w:val="21"/>
          <w:highlight w:val="none"/>
          <w:lang w:val="en-US" w:eastAsia="zh-CN" w:bidi="ar"/>
        </w:rPr>
        <w:t>投标人</w:t>
      </w:r>
      <w:r>
        <w:rPr>
          <w:rFonts w:hint="eastAsia" w:ascii="宋体" w:hAnsi="宋体" w:eastAsia="宋体" w:cs="宋体"/>
          <w:b w:val="0"/>
          <w:bCs w:val="0"/>
          <w:color w:val="auto"/>
          <w:kern w:val="0"/>
          <w:sz w:val="21"/>
          <w:szCs w:val="21"/>
          <w:highlight w:val="none"/>
          <w:lang w:val="en-US" w:eastAsia="zh-CN" w:bidi="ar"/>
        </w:rPr>
        <w:t>所有或制造，</w:t>
      </w:r>
      <w:r>
        <w:rPr>
          <w:rFonts w:hint="eastAsia" w:ascii="宋体" w:hAnsi="宋体" w:cs="宋体"/>
          <w:b w:val="0"/>
          <w:bCs w:val="0"/>
          <w:color w:val="auto"/>
          <w:kern w:val="0"/>
          <w:sz w:val="21"/>
          <w:szCs w:val="21"/>
          <w:highlight w:val="none"/>
          <w:lang w:val="en-US" w:eastAsia="zh-CN" w:bidi="ar"/>
        </w:rPr>
        <w:t>投标人</w:t>
      </w:r>
      <w:r>
        <w:rPr>
          <w:rFonts w:hint="eastAsia" w:ascii="宋体" w:hAnsi="宋体" w:eastAsia="宋体" w:cs="宋体"/>
          <w:b w:val="0"/>
          <w:bCs w:val="0"/>
          <w:color w:val="auto"/>
          <w:kern w:val="0"/>
          <w:sz w:val="21"/>
          <w:szCs w:val="21"/>
          <w:highlight w:val="none"/>
          <w:lang w:val="en-US" w:eastAsia="zh-CN" w:bidi="ar"/>
        </w:rPr>
        <w:t>投标时须提供制造商（或其境内总代理的）就本项目所提供的投标品牌产品授权书，授权书中须要注明项目名称、招标编号、货物名称、品牌及型号，授权书格式可参考招标文件所附制造商（或境内总代理商）授权书格式，也可</w:t>
      </w:r>
      <w:r>
        <w:rPr>
          <w:rFonts w:hint="eastAsia" w:ascii="宋体" w:hAnsi="宋体" w:cs="宋体"/>
          <w:b w:val="0"/>
          <w:bCs w:val="0"/>
          <w:color w:val="auto"/>
          <w:kern w:val="0"/>
          <w:sz w:val="21"/>
          <w:szCs w:val="21"/>
          <w:highlight w:val="none"/>
          <w:lang w:val="en-US" w:eastAsia="zh-CN" w:bidi="ar"/>
        </w:rPr>
        <w:t>投标人</w:t>
      </w:r>
      <w:r>
        <w:rPr>
          <w:rFonts w:hint="eastAsia" w:ascii="宋体" w:hAnsi="宋体" w:eastAsia="宋体" w:cs="宋体"/>
          <w:b w:val="0"/>
          <w:bCs w:val="0"/>
          <w:color w:val="auto"/>
          <w:kern w:val="0"/>
          <w:sz w:val="21"/>
          <w:szCs w:val="21"/>
          <w:highlight w:val="none"/>
          <w:lang w:val="en-US" w:eastAsia="zh-CN" w:bidi="ar"/>
        </w:rPr>
        <w:t>自行拟定。如是境内总代理提供的产品授权书，投标人还须提供制造商给予境内总代理的正式授权文件的复印件，以证明所供货物来源的可靠性。</w:t>
      </w:r>
    </w:p>
    <w:p w14:paraId="5E79DDF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rPr>
      </w:pPr>
    </w:p>
    <w:p w14:paraId="114A0A22">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制造商（境内总代理商）授权书（格式）</w:t>
      </w:r>
    </w:p>
    <w:p w14:paraId="1B854135">
      <w:pPr>
        <w:pStyle w:val="5"/>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致：(采购</w:t>
      </w:r>
      <w:r>
        <w:rPr>
          <w:rFonts w:hint="eastAsia" w:ascii="宋体" w:hAnsi="宋体" w:cs="宋体"/>
          <w:b/>
          <w:bCs/>
          <w:color w:val="auto"/>
          <w:sz w:val="21"/>
          <w:szCs w:val="21"/>
          <w:highlight w:val="none"/>
          <w:lang w:val="en-US" w:eastAsia="zh-CN"/>
        </w:rPr>
        <w:t>人名称</w:t>
      </w:r>
      <w:r>
        <w:rPr>
          <w:rFonts w:hint="eastAsia" w:ascii="宋体" w:hAnsi="宋体" w:eastAsia="宋体" w:cs="宋体"/>
          <w:b/>
          <w:bCs/>
          <w:color w:val="auto"/>
          <w:sz w:val="21"/>
          <w:szCs w:val="21"/>
          <w:highlight w:val="none"/>
        </w:rPr>
        <w:t xml:space="preserve">) </w:t>
      </w:r>
    </w:p>
    <w:p w14:paraId="4778875B">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我们</w:t>
      </w:r>
      <w:r>
        <w:rPr>
          <w:rFonts w:hint="eastAsia" w:ascii="宋体" w:hAnsi="宋体" w:eastAsia="宋体" w:cs="宋体"/>
          <w:color w:val="auto"/>
          <w:sz w:val="21"/>
          <w:szCs w:val="21"/>
          <w:highlight w:val="none"/>
          <w:u w:val="single"/>
        </w:rPr>
        <w:t>（制造商或境内总代理商名称)</w:t>
      </w:r>
      <w:r>
        <w:rPr>
          <w:rFonts w:hint="eastAsia" w:ascii="宋体" w:hAnsi="宋体" w:eastAsia="宋体" w:cs="宋体"/>
          <w:color w:val="auto"/>
          <w:sz w:val="21"/>
          <w:szCs w:val="21"/>
          <w:highlight w:val="none"/>
        </w:rPr>
        <w:t xml:space="preserve"> 是按</w:t>
      </w:r>
      <w:r>
        <w:rPr>
          <w:rFonts w:hint="eastAsia" w:ascii="宋体" w:hAnsi="宋体" w:eastAsia="宋体" w:cs="宋体"/>
          <w:color w:val="auto"/>
          <w:sz w:val="21"/>
          <w:szCs w:val="21"/>
          <w:highlight w:val="none"/>
          <w:u w:val="single"/>
        </w:rPr>
        <w:t xml:space="preserve">（国家名称) </w:t>
      </w:r>
      <w:r>
        <w:rPr>
          <w:rFonts w:hint="eastAsia" w:ascii="宋体" w:hAnsi="宋体" w:eastAsia="宋体" w:cs="宋体"/>
          <w:color w:val="auto"/>
          <w:sz w:val="21"/>
          <w:szCs w:val="21"/>
          <w:highlight w:val="none"/>
        </w:rPr>
        <w:t>法律成立的一家制造商</w:t>
      </w:r>
      <w:r>
        <w:rPr>
          <w:rFonts w:hint="eastAsia" w:ascii="宋体" w:hAnsi="宋体" w:eastAsia="宋体" w:cs="宋体"/>
          <w:color w:val="auto"/>
          <w:sz w:val="21"/>
          <w:szCs w:val="21"/>
          <w:highlight w:val="none"/>
          <w:u w:val="single"/>
        </w:rPr>
        <w:t>（的境内总代理</w:t>
      </w:r>
    </w:p>
    <w:p w14:paraId="6453D9F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商）</w:t>
      </w:r>
      <w:r>
        <w:rPr>
          <w:rFonts w:hint="eastAsia" w:ascii="宋体" w:hAnsi="宋体" w:eastAsia="宋体" w:cs="宋体"/>
          <w:color w:val="auto"/>
          <w:sz w:val="21"/>
          <w:szCs w:val="21"/>
          <w:highlight w:val="none"/>
        </w:rPr>
        <w:t>，主要营业地点设在</w:t>
      </w:r>
      <w:r>
        <w:rPr>
          <w:rFonts w:hint="eastAsia" w:ascii="宋体" w:hAnsi="宋体" w:eastAsia="宋体" w:cs="宋体"/>
          <w:color w:val="auto"/>
          <w:sz w:val="21"/>
          <w:szCs w:val="21"/>
          <w:highlight w:val="none"/>
          <w:u w:val="single"/>
        </w:rPr>
        <w:t>（制造商、境内总代理商地址)</w:t>
      </w:r>
      <w:r>
        <w:rPr>
          <w:rFonts w:hint="eastAsia" w:ascii="宋体" w:hAnsi="宋体" w:eastAsia="宋体" w:cs="宋体"/>
          <w:color w:val="auto"/>
          <w:sz w:val="21"/>
          <w:szCs w:val="21"/>
          <w:highlight w:val="none"/>
        </w:rPr>
        <w:t xml:space="preserve"> 。兹指派按</w:t>
      </w:r>
      <w:r>
        <w:rPr>
          <w:rFonts w:hint="eastAsia" w:ascii="宋体" w:hAnsi="宋体" w:eastAsia="宋体" w:cs="宋体"/>
          <w:color w:val="auto"/>
          <w:sz w:val="21"/>
          <w:szCs w:val="21"/>
          <w:highlight w:val="none"/>
          <w:u w:val="single"/>
        </w:rPr>
        <w:t>（国家名称)</w:t>
      </w:r>
      <w:r>
        <w:rPr>
          <w:rFonts w:hint="eastAsia" w:ascii="宋体" w:hAnsi="宋体" w:eastAsia="宋体" w:cs="宋体"/>
          <w:color w:val="auto"/>
          <w:sz w:val="21"/>
          <w:szCs w:val="21"/>
          <w:highlight w:val="none"/>
        </w:rPr>
        <w:t xml:space="preserve"> 的法律正式成立</w:t>
      </w:r>
    </w:p>
    <w:p w14:paraId="2AA0710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的，主要营业地点设在</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 xml:space="preserve">地址)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作为我方真正的和合法的代理人进行下</w:t>
      </w:r>
    </w:p>
    <w:p w14:paraId="5772C7D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列有效的活动：</w:t>
      </w:r>
    </w:p>
    <w:p w14:paraId="4DB2547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(1)代表我方在中华人民共和国办理贵方第</w:t>
      </w:r>
      <w:r>
        <w:rPr>
          <w:rFonts w:hint="eastAsia" w:ascii="宋体" w:hAnsi="宋体" w:eastAsia="宋体" w:cs="宋体"/>
          <w:color w:val="auto"/>
          <w:sz w:val="21"/>
          <w:szCs w:val="21"/>
          <w:highlight w:val="none"/>
          <w:u w:val="single"/>
        </w:rPr>
        <w:t xml:space="preserve"> （招标编号） </w:t>
      </w:r>
      <w:r>
        <w:rPr>
          <w:rFonts w:hint="eastAsia" w:ascii="宋体" w:hAnsi="宋体" w:eastAsia="宋体" w:cs="宋体"/>
          <w:color w:val="auto"/>
          <w:sz w:val="21"/>
          <w:szCs w:val="21"/>
          <w:highlight w:val="none"/>
        </w:rPr>
        <w:t>号投标邀请要求提供的由我方</w:t>
      </w:r>
      <w:r>
        <w:rPr>
          <w:rFonts w:hint="eastAsia" w:ascii="宋体" w:hAnsi="宋体" w:eastAsia="宋体" w:cs="宋体"/>
          <w:color w:val="auto"/>
          <w:sz w:val="21"/>
          <w:szCs w:val="21"/>
          <w:highlight w:val="none"/>
          <w:u w:val="single"/>
        </w:rPr>
        <w:t>（制</w:t>
      </w:r>
    </w:p>
    <w:p w14:paraId="500938E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造商）</w:t>
      </w:r>
      <w:r>
        <w:rPr>
          <w:rFonts w:hint="eastAsia" w:ascii="宋体" w:hAnsi="宋体" w:eastAsia="宋体" w:cs="宋体"/>
          <w:color w:val="auto"/>
          <w:sz w:val="21"/>
          <w:szCs w:val="21"/>
          <w:highlight w:val="none"/>
        </w:rPr>
        <w:t>制造的</w:t>
      </w:r>
      <w:r>
        <w:rPr>
          <w:rFonts w:hint="eastAsia" w:ascii="宋体" w:hAnsi="宋体" w:eastAsia="宋体" w:cs="宋体"/>
          <w:color w:val="auto"/>
          <w:sz w:val="21"/>
          <w:szCs w:val="21"/>
          <w:highlight w:val="none"/>
          <w:u w:val="single"/>
        </w:rPr>
        <w:t>包号（品目号）货物名称（型号）</w:t>
      </w:r>
      <w:r>
        <w:rPr>
          <w:rFonts w:hint="eastAsia" w:ascii="宋体" w:hAnsi="宋体" w:eastAsia="宋体" w:cs="宋体"/>
          <w:color w:val="auto"/>
          <w:sz w:val="21"/>
          <w:szCs w:val="21"/>
          <w:highlight w:val="none"/>
        </w:rPr>
        <w:t>的有关事宜，并对我方具有约束力。</w:t>
      </w:r>
    </w:p>
    <w:p w14:paraId="76C033D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(2)作为制造商</w:t>
      </w:r>
      <w:r>
        <w:rPr>
          <w:rFonts w:hint="eastAsia" w:ascii="宋体" w:hAnsi="宋体" w:eastAsia="宋体" w:cs="宋体"/>
          <w:color w:val="auto"/>
          <w:sz w:val="21"/>
          <w:szCs w:val="21"/>
          <w:highlight w:val="none"/>
          <w:u w:val="single"/>
        </w:rPr>
        <w:t>（的境内总代理商）</w:t>
      </w:r>
      <w:r>
        <w:rPr>
          <w:rFonts w:hint="eastAsia" w:ascii="宋体" w:hAnsi="宋体" w:eastAsia="宋体" w:cs="宋体"/>
          <w:color w:val="auto"/>
          <w:sz w:val="21"/>
          <w:szCs w:val="21"/>
          <w:highlight w:val="none"/>
        </w:rPr>
        <w:t>，我方保证以投标合作者来约束自己，并对该投标共同和分</w:t>
      </w:r>
    </w:p>
    <w:p w14:paraId="14D39280">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别承担招标文件中所规定的义务。</w:t>
      </w:r>
    </w:p>
    <w:p w14:paraId="49AFF130">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(3)我方兹授予</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全权办理和履行上述我方为完成上述各点所必须的事宜，具有</w:t>
      </w:r>
    </w:p>
    <w:p w14:paraId="02BBC7E9">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替换或撤消的全权。兹确认</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 xml:space="preserve"> 或其正式授权代表依此合法地办理一切事宜。</w:t>
      </w:r>
    </w:p>
    <w:p w14:paraId="0F4387C8">
      <w:pPr>
        <w:pStyle w:val="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（4）作为境内总代理商，随此函，附上</w:t>
      </w:r>
      <w:r>
        <w:rPr>
          <w:rFonts w:hint="eastAsia" w:ascii="宋体" w:hAnsi="宋体" w:eastAsia="宋体" w:cs="宋体"/>
          <w:color w:val="auto"/>
          <w:sz w:val="21"/>
          <w:szCs w:val="21"/>
          <w:highlight w:val="none"/>
          <w:u w:val="single"/>
        </w:rPr>
        <w:t>（制造商名称）</w:t>
      </w:r>
      <w:r>
        <w:rPr>
          <w:rFonts w:hint="eastAsia" w:ascii="宋体" w:hAnsi="宋体" w:eastAsia="宋体" w:cs="宋体"/>
          <w:color w:val="auto"/>
          <w:sz w:val="21"/>
          <w:szCs w:val="21"/>
          <w:highlight w:val="none"/>
        </w:rPr>
        <w:t>给我方</w:t>
      </w:r>
      <w:r>
        <w:rPr>
          <w:rFonts w:hint="eastAsia" w:ascii="宋体" w:hAnsi="宋体" w:eastAsia="宋体" w:cs="宋体"/>
          <w:color w:val="auto"/>
          <w:sz w:val="21"/>
          <w:szCs w:val="21"/>
          <w:highlight w:val="none"/>
          <w:u w:val="single"/>
        </w:rPr>
        <w:t>（境内总代理）</w:t>
      </w:r>
      <w:r>
        <w:rPr>
          <w:rFonts w:hint="eastAsia" w:ascii="宋体" w:hAnsi="宋体" w:eastAsia="宋体" w:cs="宋体"/>
          <w:color w:val="auto"/>
          <w:sz w:val="21"/>
          <w:szCs w:val="21"/>
          <w:highlight w:val="none"/>
        </w:rPr>
        <w:t>的正式授权文</w:t>
      </w:r>
    </w:p>
    <w:p w14:paraId="0FC6D49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件复印件，以证明我方提供货物来源的可靠性。</w:t>
      </w:r>
    </w:p>
    <w:p w14:paraId="570C467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我方于</w:t>
      </w:r>
      <w:r>
        <w:rPr>
          <w:rFonts w:hint="eastAsia" w:ascii="宋体" w:hAnsi="宋体" w:eastAsia="宋体" w:cs="宋体"/>
          <w:color w:val="auto"/>
          <w:sz w:val="21"/>
          <w:szCs w:val="21"/>
          <w:highlight w:val="none"/>
          <w:u w:val="single"/>
        </w:rPr>
        <w:t xml:space="preserve"> 年 月 日</w:t>
      </w:r>
      <w:r>
        <w:rPr>
          <w:rFonts w:hint="eastAsia" w:ascii="宋体" w:hAnsi="宋体" w:eastAsia="宋体" w:cs="宋体"/>
          <w:color w:val="auto"/>
          <w:sz w:val="21"/>
          <w:szCs w:val="21"/>
          <w:highlight w:val="none"/>
        </w:rPr>
        <w:t>签署本文件，</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年 月 日</w:t>
      </w:r>
      <w:r>
        <w:rPr>
          <w:rFonts w:hint="eastAsia" w:ascii="宋体" w:hAnsi="宋体" w:eastAsia="宋体" w:cs="宋体"/>
          <w:color w:val="auto"/>
          <w:sz w:val="21"/>
          <w:szCs w:val="21"/>
          <w:highlight w:val="none"/>
        </w:rPr>
        <w:t>接受</w:t>
      </w:r>
    </w:p>
    <w:p w14:paraId="1AC7D3E2">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此件，以此为证。</w:t>
      </w:r>
    </w:p>
    <w:p w14:paraId="708A13BD">
      <w:pPr>
        <w:pStyle w:val="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制造商（境内总代理商）名称： </w:t>
      </w:r>
    </w:p>
    <w:p w14:paraId="1B289153">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（单位公章）：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（单位公章）：</w:t>
      </w:r>
    </w:p>
    <w:p w14:paraId="656F2A1B">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签字人职务和部门：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签字人职务和部门： </w:t>
      </w:r>
    </w:p>
    <w:p w14:paraId="6987F0BC">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签字人签字：</w:t>
      </w:r>
    </w:p>
    <w:p w14:paraId="22A90759">
      <w:pP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br w:type="page"/>
      </w:r>
    </w:p>
    <w:p w14:paraId="13E8399B">
      <w:pPr>
        <w:spacing w:before="182" w:line="221" w:lineRule="auto"/>
        <w:outlineLvl w:val="9"/>
        <w:rPr>
          <w:rFonts w:hint="eastAsia" w:ascii="宋体" w:hAnsi="宋体" w:eastAsia="宋体" w:cs="宋体"/>
          <w:b/>
          <w:bCs/>
          <w:color w:val="auto"/>
          <w:spacing w:val="-17"/>
          <w:sz w:val="24"/>
          <w:szCs w:val="24"/>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十</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三：招标文件要求提供或供应商认为需要提供的其它材料</w:t>
      </w:r>
    </w:p>
    <w:bookmarkEnd w:id="87"/>
    <w:sectPr>
      <w:footerReference r:id="rId6" w:type="default"/>
      <w:pgSz w:w="11906" w:h="16839"/>
      <w:pgMar w:top="1440" w:right="1310" w:bottom="1440" w:left="1310" w:header="227" w:footer="90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ED89">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C3B5">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78D1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78D1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7CD86"/>
    <w:multiLevelType w:val="singleLevel"/>
    <w:tmpl w:val="A7B7CD86"/>
    <w:lvl w:ilvl="0" w:tentative="0">
      <w:start w:val="17"/>
      <w:numFmt w:val="chineseCounting"/>
      <w:suff w:val="nothing"/>
      <w:lvlText w:val="%1、"/>
      <w:lvlJc w:val="left"/>
      <w:rPr>
        <w:rFonts w:hint="eastAsia"/>
      </w:rPr>
    </w:lvl>
  </w:abstractNum>
  <w:abstractNum w:abstractNumId="1">
    <w:nsid w:val="F05D4DB6"/>
    <w:multiLevelType w:val="singleLevel"/>
    <w:tmpl w:val="F05D4DB6"/>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iZTc2ZGI4ODRjMTRjMzAzYzljNTM1ZjY3YTRmZmIifQ=="/>
  </w:docVars>
  <w:rsids>
    <w:rsidRoot w:val="00000000"/>
    <w:rsid w:val="0023368B"/>
    <w:rsid w:val="00563274"/>
    <w:rsid w:val="006A1D80"/>
    <w:rsid w:val="007F0A1D"/>
    <w:rsid w:val="00991ADF"/>
    <w:rsid w:val="00D72607"/>
    <w:rsid w:val="01205D5C"/>
    <w:rsid w:val="015B7B3A"/>
    <w:rsid w:val="019D092B"/>
    <w:rsid w:val="01AF7DBD"/>
    <w:rsid w:val="01BF5575"/>
    <w:rsid w:val="01C0753F"/>
    <w:rsid w:val="01C404B1"/>
    <w:rsid w:val="01DD59FB"/>
    <w:rsid w:val="01F87C91"/>
    <w:rsid w:val="026B3007"/>
    <w:rsid w:val="028C44B2"/>
    <w:rsid w:val="02BE582C"/>
    <w:rsid w:val="03004097"/>
    <w:rsid w:val="035B12CD"/>
    <w:rsid w:val="037C563F"/>
    <w:rsid w:val="0397679F"/>
    <w:rsid w:val="03FB660C"/>
    <w:rsid w:val="041D47D5"/>
    <w:rsid w:val="043833BC"/>
    <w:rsid w:val="045F4DED"/>
    <w:rsid w:val="04A506F4"/>
    <w:rsid w:val="04DE2623"/>
    <w:rsid w:val="04DF5F2E"/>
    <w:rsid w:val="04F50FAA"/>
    <w:rsid w:val="058E7052"/>
    <w:rsid w:val="05D14557"/>
    <w:rsid w:val="05EB5B14"/>
    <w:rsid w:val="060C4B01"/>
    <w:rsid w:val="061E65E2"/>
    <w:rsid w:val="06212B1B"/>
    <w:rsid w:val="067A1543"/>
    <w:rsid w:val="067A5F0E"/>
    <w:rsid w:val="06813F88"/>
    <w:rsid w:val="06BB2083"/>
    <w:rsid w:val="06CE625A"/>
    <w:rsid w:val="06E96BF0"/>
    <w:rsid w:val="070752C8"/>
    <w:rsid w:val="070C1155"/>
    <w:rsid w:val="073C31C4"/>
    <w:rsid w:val="073C7F89"/>
    <w:rsid w:val="07AE48F9"/>
    <w:rsid w:val="07BA233A"/>
    <w:rsid w:val="08060567"/>
    <w:rsid w:val="080762A1"/>
    <w:rsid w:val="081E0B1B"/>
    <w:rsid w:val="08983D41"/>
    <w:rsid w:val="08B5322E"/>
    <w:rsid w:val="08C6173B"/>
    <w:rsid w:val="08D804E2"/>
    <w:rsid w:val="08E65E91"/>
    <w:rsid w:val="08EE00FB"/>
    <w:rsid w:val="090441B5"/>
    <w:rsid w:val="09246605"/>
    <w:rsid w:val="0992356F"/>
    <w:rsid w:val="09B07E99"/>
    <w:rsid w:val="09DB4F16"/>
    <w:rsid w:val="09F8748A"/>
    <w:rsid w:val="09FE6E56"/>
    <w:rsid w:val="0A570314"/>
    <w:rsid w:val="0A621193"/>
    <w:rsid w:val="0A91541D"/>
    <w:rsid w:val="0AA7129C"/>
    <w:rsid w:val="0AB47515"/>
    <w:rsid w:val="0AB6245A"/>
    <w:rsid w:val="0ACE4378"/>
    <w:rsid w:val="0B1A7CC0"/>
    <w:rsid w:val="0B285819"/>
    <w:rsid w:val="0B654EB1"/>
    <w:rsid w:val="0B655D05"/>
    <w:rsid w:val="0B6A1031"/>
    <w:rsid w:val="0BB023D2"/>
    <w:rsid w:val="0BF7590B"/>
    <w:rsid w:val="0C564D28"/>
    <w:rsid w:val="0C686809"/>
    <w:rsid w:val="0C9E2909"/>
    <w:rsid w:val="0CB67574"/>
    <w:rsid w:val="0CC872A8"/>
    <w:rsid w:val="0D350DE1"/>
    <w:rsid w:val="0D366907"/>
    <w:rsid w:val="0D444B80"/>
    <w:rsid w:val="0D6945E7"/>
    <w:rsid w:val="0D921D8F"/>
    <w:rsid w:val="0D9D2160"/>
    <w:rsid w:val="0DB549ED"/>
    <w:rsid w:val="0DCB5678"/>
    <w:rsid w:val="0DF465A6"/>
    <w:rsid w:val="0DF77E44"/>
    <w:rsid w:val="0DFA2938"/>
    <w:rsid w:val="0E27335E"/>
    <w:rsid w:val="0E6C1257"/>
    <w:rsid w:val="0E8F4521"/>
    <w:rsid w:val="0EA16002"/>
    <w:rsid w:val="0EE04D7C"/>
    <w:rsid w:val="0F16254C"/>
    <w:rsid w:val="0F407486"/>
    <w:rsid w:val="0F4948EC"/>
    <w:rsid w:val="0F713C26"/>
    <w:rsid w:val="0FA05580"/>
    <w:rsid w:val="0FBE7DA0"/>
    <w:rsid w:val="0FD77F2D"/>
    <w:rsid w:val="0FF90A42"/>
    <w:rsid w:val="102D5D9F"/>
    <w:rsid w:val="105E1836"/>
    <w:rsid w:val="106B4B1A"/>
    <w:rsid w:val="10863702"/>
    <w:rsid w:val="109B4C39"/>
    <w:rsid w:val="10B4201D"/>
    <w:rsid w:val="10E072B6"/>
    <w:rsid w:val="10F92232"/>
    <w:rsid w:val="10FE773C"/>
    <w:rsid w:val="112C24FB"/>
    <w:rsid w:val="112C74C4"/>
    <w:rsid w:val="116A6A33"/>
    <w:rsid w:val="11825E91"/>
    <w:rsid w:val="11E931F7"/>
    <w:rsid w:val="120B3EBE"/>
    <w:rsid w:val="12107727"/>
    <w:rsid w:val="1237659B"/>
    <w:rsid w:val="124B075F"/>
    <w:rsid w:val="128F7200"/>
    <w:rsid w:val="12AA36D7"/>
    <w:rsid w:val="12F928B1"/>
    <w:rsid w:val="13124658"/>
    <w:rsid w:val="13206EE8"/>
    <w:rsid w:val="1323348A"/>
    <w:rsid w:val="132D60B6"/>
    <w:rsid w:val="133F712D"/>
    <w:rsid w:val="13566C69"/>
    <w:rsid w:val="13893C35"/>
    <w:rsid w:val="13B50FA2"/>
    <w:rsid w:val="13C0517C"/>
    <w:rsid w:val="13D848ED"/>
    <w:rsid w:val="13FF5CA5"/>
    <w:rsid w:val="146A2CD4"/>
    <w:rsid w:val="14773EFA"/>
    <w:rsid w:val="148562AE"/>
    <w:rsid w:val="14AA20B4"/>
    <w:rsid w:val="14AF2A28"/>
    <w:rsid w:val="14B940A6"/>
    <w:rsid w:val="14EC032E"/>
    <w:rsid w:val="14ED0B7F"/>
    <w:rsid w:val="14F86AE3"/>
    <w:rsid w:val="14F87705"/>
    <w:rsid w:val="15383038"/>
    <w:rsid w:val="154712A7"/>
    <w:rsid w:val="15595889"/>
    <w:rsid w:val="155B7A5E"/>
    <w:rsid w:val="155E138C"/>
    <w:rsid w:val="158F12AA"/>
    <w:rsid w:val="159F14ED"/>
    <w:rsid w:val="15A20FDE"/>
    <w:rsid w:val="15BD5E17"/>
    <w:rsid w:val="15D370D2"/>
    <w:rsid w:val="16053650"/>
    <w:rsid w:val="1642631D"/>
    <w:rsid w:val="16832BBD"/>
    <w:rsid w:val="16842491"/>
    <w:rsid w:val="16A56DF3"/>
    <w:rsid w:val="16AE139D"/>
    <w:rsid w:val="16C60CFC"/>
    <w:rsid w:val="16C64858"/>
    <w:rsid w:val="16FA66B9"/>
    <w:rsid w:val="17242CEB"/>
    <w:rsid w:val="17A032FB"/>
    <w:rsid w:val="17D46DFC"/>
    <w:rsid w:val="18062C47"/>
    <w:rsid w:val="184E71FB"/>
    <w:rsid w:val="187569EE"/>
    <w:rsid w:val="187C12F9"/>
    <w:rsid w:val="1890511D"/>
    <w:rsid w:val="18B87B08"/>
    <w:rsid w:val="18BA63DF"/>
    <w:rsid w:val="18D47700"/>
    <w:rsid w:val="18E54327"/>
    <w:rsid w:val="190134B3"/>
    <w:rsid w:val="190660FA"/>
    <w:rsid w:val="19301889"/>
    <w:rsid w:val="19467ED2"/>
    <w:rsid w:val="196565AA"/>
    <w:rsid w:val="19771D42"/>
    <w:rsid w:val="197829AB"/>
    <w:rsid w:val="19866520"/>
    <w:rsid w:val="19AF3CC9"/>
    <w:rsid w:val="19C1642A"/>
    <w:rsid w:val="19C71013"/>
    <w:rsid w:val="19C82314"/>
    <w:rsid w:val="19E73D09"/>
    <w:rsid w:val="1A07140F"/>
    <w:rsid w:val="1A1E5813"/>
    <w:rsid w:val="1A5D1977"/>
    <w:rsid w:val="1A700CC5"/>
    <w:rsid w:val="1A9A68F5"/>
    <w:rsid w:val="1AB86BAD"/>
    <w:rsid w:val="1AE01E2B"/>
    <w:rsid w:val="1B0D0CA7"/>
    <w:rsid w:val="1B26620D"/>
    <w:rsid w:val="1B2A75B7"/>
    <w:rsid w:val="1B5B2A1B"/>
    <w:rsid w:val="1BCF2401"/>
    <w:rsid w:val="1BE0460E"/>
    <w:rsid w:val="1C0D11A1"/>
    <w:rsid w:val="1C2838BF"/>
    <w:rsid w:val="1C2A4944"/>
    <w:rsid w:val="1C4A5F2B"/>
    <w:rsid w:val="1C512E16"/>
    <w:rsid w:val="1C534D67"/>
    <w:rsid w:val="1C99656B"/>
    <w:rsid w:val="1C9A095A"/>
    <w:rsid w:val="1C9F0025"/>
    <w:rsid w:val="1CAD6710"/>
    <w:rsid w:val="1CBA5EFE"/>
    <w:rsid w:val="1CC37C93"/>
    <w:rsid w:val="1CEE6A7A"/>
    <w:rsid w:val="1CF00880"/>
    <w:rsid w:val="1D025CA0"/>
    <w:rsid w:val="1D26096A"/>
    <w:rsid w:val="1D3A1AFC"/>
    <w:rsid w:val="1D7019C1"/>
    <w:rsid w:val="1DBE7A88"/>
    <w:rsid w:val="1DCD2970"/>
    <w:rsid w:val="1E3824DF"/>
    <w:rsid w:val="1E522E75"/>
    <w:rsid w:val="1E761256"/>
    <w:rsid w:val="1E827A99"/>
    <w:rsid w:val="1F52137F"/>
    <w:rsid w:val="1F686DF4"/>
    <w:rsid w:val="1F86727A"/>
    <w:rsid w:val="1F882F99"/>
    <w:rsid w:val="1F9957E4"/>
    <w:rsid w:val="1FE3647B"/>
    <w:rsid w:val="1FF16DE9"/>
    <w:rsid w:val="20607ACB"/>
    <w:rsid w:val="208714FC"/>
    <w:rsid w:val="20A976C4"/>
    <w:rsid w:val="20BD4A8B"/>
    <w:rsid w:val="20C0120F"/>
    <w:rsid w:val="20E06E5E"/>
    <w:rsid w:val="20F3093F"/>
    <w:rsid w:val="215F5FD5"/>
    <w:rsid w:val="216B6BBC"/>
    <w:rsid w:val="21B7196D"/>
    <w:rsid w:val="21BE0F4D"/>
    <w:rsid w:val="21E8421C"/>
    <w:rsid w:val="22016145"/>
    <w:rsid w:val="221A4255"/>
    <w:rsid w:val="22502157"/>
    <w:rsid w:val="22573150"/>
    <w:rsid w:val="22715FC0"/>
    <w:rsid w:val="22A250A5"/>
    <w:rsid w:val="22E91FFA"/>
    <w:rsid w:val="23143CC1"/>
    <w:rsid w:val="231A0405"/>
    <w:rsid w:val="233D0598"/>
    <w:rsid w:val="23E0270B"/>
    <w:rsid w:val="23E67AE2"/>
    <w:rsid w:val="23EF6DDD"/>
    <w:rsid w:val="23FA1FE5"/>
    <w:rsid w:val="24194B61"/>
    <w:rsid w:val="243472A5"/>
    <w:rsid w:val="2464432F"/>
    <w:rsid w:val="24704055"/>
    <w:rsid w:val="24804DBA"/>
    <w:rsid w:val="24EB7C26"/>
    <w:rsid w:val="24F353B2"/>
    <w:rsid w:val="250424A4"/>
    <w:rsid w:val="250639AE"/>
    <w:rsid w:val="252E5396"/>
    <w:rsid w:val="254554E2"/>
    <w:rsid w:val="25506360"/>
    <w:rsid w:val="25661C03"/>
    <w:rsid w:val="256F255E"/>
    <w:rsid w:val="25916979"/>
    <w:rsid w:val="25965338"/>
    <w:rsid w:val="25A71CF8"/>
    <w:rsid w:val="25A93A08"/>
    <w:rsid w:val="25C94338"/>
    <w:rsid w:val="25D845A8"/>
    <w:rsid w:val="25F2111F"/>
    <w:rsid w:val="25FE400E"/>
    <w:rsid w:val="26067DCF"/>
    <w:rsid w:val="261F21D6"/>
    <w:rsid w:val="26452B65"/>
    <w:rsid w:val="266A16A4"/>
    <w:rsid w:val="26B26BA7"/>
    <w:rsid w:val="26EF1BA9"/>
    <w:rsid w:val="27037402"/>
    <w:rsid w:val="272C0707"/>
    <w:rsid w:val="275A1718"/>
    <w:rsid w:val="276F2332"/>
    <w:rsid w:val="278C389C"/>
    <w:rsid w:val="27CC5901"/>
    <w:rsid w:val="27F154AD"/>
    <w:rsid w:val="27F751B9"/>
    <w:rsid w:val="27FF406E"/>
    <w:rsid w:val="28137B19"/>
    <w:rsid w:val="281D040D"/>
    <w:rsid w:val="285A74F6"/>
    <w:rsid w:val="28DC7F0B"/>
    <w:rsid w:val="29253660"/>
    <w:rsid w:val="29345F99"/>
    <w:rsid w:val="29693E94"/>
    <w:rsid w:val="297840D8"/>
    <w:rsid w:val="29844D81"/>
    <w:rsid w:val="29F80D74"/>
    <w:rsid w:val="2A1C0F07"/>
    <w:rsid w:val="2A3738D4"/>
    <w:rsid w:val="2A3E70CF"/>
    <w:rsid w:val="2A41392A"/>
    <w:rsid w:val="2A650ECF"/>
    <w:rsid w:val="2AAA6513"/>
    <w:rsid w:val="2AB253C7"/>
    <w:rsid w:val="2AB27175"/>
    <w:rsid w:val="2AC55FB0"/>
    <w:rsid w:val="2AD25A69"/>
    <w:rsid w:val="2BBF7A93"/>
    <w:rsid w:val="2BC01D66"/>
    <w:rsid w:val="2BEC66B7"/>
    <w:rsid w:val="2C043A01"/>
    <w:rsid w:val="2C7F3EE9"/>
    <w:rsid w:val="2C98633C"/>
    <w:rsid w:val="2CA4338D"/>
    <w:rsid w:val="2CF477E4"/>
    <w:rsid w:val="2D257E8D"/>
    <w:rsid w:val="2D261EE1"/>
    <w:rsid w:val="2D26209C"/>
    <w:rsid w:val="2D362FFF"/>
    <w:rsid w:val="2D4B56B9"/>
    <w:rsid w:val="2D590C84"/>
    <w:rsid w:val="2D687FBF"/>
    <w:rsid w:val="2D766B80"/>
    <w:rsid w:val="2DB4075A"/>
    <w:rsid w:val="2DD6761F"/>
    <w:rsid w:val="2E185FB5"/>
    <w:rsid w:val="2E666BF4"/>
    <w:rsid w:val="2E903C71"/>
    <w:rsid w:val="2EB21E3A"/>
    <w:rsid w:val="2ED56201"/>
    <w:rsid w:val="2EF22236"/>
    <w:rsid w:val="2F063F34"/>
    <w:rsid w:val="2F1C72B3"/>
    <w:rsid w:val="2F1E127D"/>
    <w:rsid w:val="2FFD0E93"/>
    <w:rsid w:val="305B205D"/>
    <w:rsid w:val="306B4E7D"/>
    <w:rsid w:val="3082583C"/>
    <w:rsid w:val="310817CD"/>
    <w:rsid w:val="31141CD2"/>
    <w:rsid w:val="31175F84"/>
    <w:rsid w:val="312F7772"/>
    <w:rsid w:val="31336B36"/>
    <w:rsid w:val="313A63D7"/>
    <w:rsid w:val="31501BFE"/>
    <w:rsid w:val="316B62D0"/>
    <w:rsid w:val="317F1B79"/>
    <w:rsid w:val="318006F6"/>
    <w:rsid w:val="31A17C21"/>
    <w:rsid w:val="31A43590"/>
    <w:rsid w:val="31B30944"/>
    <w:rsid w:val="31B9528D"/>
    <w:rsid w:val="31E702F1"/>
    <w:rsid w:val="31F47267"/>
    <w:rsid w:val="323D7C6C"/>
    <w:rsid w:val="324043DE"/>
    <w:rsid w:val="32761D17"/>
    <w:rsid w:val="329F4483"/>
    <w:rsid w:val="32D6284F"/>
    <w:rsid w:val="32DD4FAB"/>
    <w:rsid w:val="33154F2C"/>
    <w:rsid w:val="332C66F3"/>
    <w:rsid w:val="335C4122"/>
    <w:rsid w:val="33873125"/>
    <w:rsid w:val="33B273BE"/>
    <w:rsid w:val="33DF6B01"/>
    <w:rsid w:val="33F829BD"/>
    <w:rsid w:val="34052A0C"/>
    <w:rsid w:val="34565015"/>
    <w:rsid w:val="345D45F6"/>
    <w:rsid w:val="34632FD8"/>
    <w:rsid w:val="34752158"/>
    <w:rsid w:val="34BE3DF6"/>
    <w:rsid w:val="34F71AF5"/>
    <w:rsid w:val="350902DA"/>
    <w:rsid w:val="35386E11"/>
    <w:rsid w:val="355A28E3"/>
    <w:rsid w:val="35727C2D"/>
    <w:rsid w:val="35814314"/>
    <w:rsid w:val="36160F00"/>
    <w:rsid w:val="363A3E94"/>
    <w:rsid w:val="364C66D0"/>
    <w:rsid w:val="36504750"/>
    <w:rsid w:val="365E4655"/>
    <w:rsid w:val="36813D31"/>
    <w:rsid w:val="36853990"/>
    <w:rsid w:val="36963DEF"/>
    <w:rsid w:val="36C97D20"/>
    <w:rsid w:val="36D13079"/>
    <w:rsid w:val="36FE494E"/>
    <w:rsid w:val="370068A1"/>
    <w:rsid w:val="37216138"/>
    <w:rsid w:val="37270EEB"/>
    <w:rsid w:val="377C2FE5"/>
    <w:rsid w:val="378E2D18"/>
    <w:rsid w:val="379A16BD"/>
    <w:rsid w:val="37A02563"/>
    <w:rsid w:val="37C417AA"/>
    <w:rsid w:val="37CE75B8"/>
    <w:rsid w:val="37DA5F5D"/>
    <w:rsid w:val="38042FDA"/>
    <w:rsid w:val="380F20AB"/>
    <w:rsid w:val="384D4981"/>
    <w:rsid w:val="384E39DC"/>
    <w:rsid w:val="38654816"/>
    <w:rsid w:val="38795776"/>
    <w:rsid w:val="38A50319"/>
    <w:rsid w:val="38D91C00"/>
    <w:rsid w:val="38E057F5"/>
    <w:rsid w:val="38EE3FD0"/>
    <w:rsid w:val="391A6BCE"/>
    <w:rsid w:val="391E2E32"/>
    <w:rsid w:val="391E32EE"/>
    <w:rsid w:val="3930052B"/>
    <w:rsid w:val="395104A1"/>
    <w:rsid w:val="39570DCA"/>
    <w:rsid w:val="395A1104"/>
    <w:rsid w:val="39671A73"/>
    <w:rsid w:val="39814527"/>
    <w:rsid w:val="39882115"/>
    <w:rsid w:val="39D8471E"/>
    <w:rsid w:val="39EC3D26"/>
    <w:rsid w:val="39ED01CA"/>
    <w:rsid w:val="39F96B6F"/>
    <w:rsid w:val="39FD5F33"/>
    <w:rsid w:val="3A145757"/>
    <w:rsid w:val="3A323E2F"/>
    <w:rsid w:val="3A43603C"/>
    <w:rsid w:val="3A8F1049"/>
    <w:rsid w:val="3A922B1F"/>
    <w:rsid w:val="3AB42A96"/>
    <w:rsid w:val="3AD9074E"/>
    <w:rsid w:val="3B2C6AD0"/>
    <w:rsid w:val="3B3008DD"/>
    <w:rsid w:val="3B5D39DD"/>
    <w:rsid w:val="3B6B584A"/>
    <w:rsid w:val="3B7A783B"/>
    <w:rsid w:val="3B7F12F6"/>
    <w:rsid w:val="3BC30E06"/>
    <w:rsid w:val="3BDC04F6"/>
    <w:rsid w:val="3BE4693D"/>
    <w:rsid w:val="3BEB0941"/>
    <w:rsid w:val="3C7F541F"/>
    <w:rsid w:val="3CAC6DC6"/>
    <w:rsid w:val="3CAE0AD9"/>
    <w:rsid w:val="3CEA4D9C"/>
    <w:rsid w:val="3CFB6AD2"/>
    <w:rsid w:val="3D0C0967"/>
    <w:rsid w:val="3D0C4E0B"/>
    <w:rsid w:val="3D430101"/>
    <w:rsid w:val="3D65451B"/>
    <w:rsid w:val="3D934BE4"/>
    <w:rsid w:val="3DA202D5"/>
    <w:rsid w:val="3DD1570D"/>
    <w:rsid w:val="3DFC4E7F"/>
    <w:rsid w:val="3E077380"/>
    <w:rsid w:val="3E0D5290"/>
    <w:rsid w:val="3E184036"/>
    <w:rsid w:val="3E1D6BA4"/>
    <w:rsid w:val="3E38578C"/>
    <w:rsid w:val="3E401741"/>
    <w:rsid w:val="3E630A5B"/>
    <w:rsid w:val="3E704F26"/>
    <w:rsid w:val="3E7853A0"/>
    <w:rsid w:val="3E802756"/>
    <w:rsid w:val="3EA3300B"/>
    <w:rsid w:val="3F0409FD"/>
    <w:rsid w:val="3F376F2D"/>
    <w:rsid w:val="3FB2368A"/>
    <w:rsid w:val="3FD341E0"/>
    <w:rsid w:val="3FE43E1D"/>
    <w:rsid w:val="3FEC0F24"/>
    <w:rsid w:val="3FEF6007"/>
    <w:rsid w:val="3FFB1B7C"/>
    <w:rsid w:val="40504C94"/>
    <w:rsid w:val="40A13ABC"/>
    <w:rsid w:val="40EA7211"/>
    <w:rsid w:val="41197AF6"/>
    <w:rsid w:val="417E3DFD"/>
    <w:rsid w:val="4184563D"/>
    <w:rsid w:val="41874618"/>
    <w:rsid w:val="418D1221"/>
    <w:rsid w:val="418D4436"/>
    <w:rsid w:val="42075BA1"/>
    <w:rsid w:val="420E33D3"/>
    <w:rsid w:val="42310E70"/>
    <w:rsid w:val="423A41C8"/>
    <w:rsid w:val="424E2AAD"/>
    <w:rsid w:val="4255690C"/>
    <w:rsid w:val="42725710"/>
    <w:rsid w:val="42786A9F"/>
    <w:rsid w:val="42E3660E"/>
    <w:rsid w:val="42F206F4"/>
    <w:rsid w:val="430C00D7"/>
    <w:rsid w:val="43853221"/>
    <w:rsid w:val="43AA712C"/>
    <w:rsid w:val="43CF0940"/>
    <w:rsid w:val="43F32881"/>
    <w:rsid w:val="43FD54AD"/>
    <w:rsid w:val="43FF1225"/>
    <w:rsid w:val="441F2BD9"/>
    <w:rsid w:val="444667B2"/>
    <w:rsid w:val="445826E4"/>
    <w:rsid w:val="44722751"/>
    <w:rsid w:val="447B63D2"/>
    <w:rsid w:val="448E7C71"/>
    <w:rsid w:val="44915BF6"/>
    <w:rsid w:val="4493014A"/>
    <w:rsid w:val="44AA33B7"/>
    <w:rsid w:val="44B55D88"/>
    <w:rsid w:val="44C818B0"/>
    <w:rsid w:val="44CD1324"/>
    <w:rsid w:val="44DC50C3"/>
    <w:rsid w:val="454C4A87"/>
    <w:rsid w:val="45796DB6"/>
    <w:rsid w:val="45EA1A61"/>
    <w:rsid w:val="45F4468E"/>
    <w:rsid w:val="464B1B2F"/>
    <w:rsid w:val="466730B2"/>
    <w:rsid w:val="46715CDF"/>
    <w:rsid w:val="46805F22"/>
    <w:rsid w:val="46BF2EEE"/>
    <w:rsid w:val="46EB783F"/>
    <w:rsid w:val="46ED7A5B"/>
    <w:rsid w:val="46F420A2"/>
    <w:rsid w:val="471A6376"/>
    <w:rsid w:val="472F1E22"/>
    <w:rsid w:val="473311E6"/>
    <w:rsid w:val="47392CA0"/>
    <w:rsid w:val="473D6DED"/>
    <w:rsid w:val="47875211"/>
    <w:rsid w:val="47D26C51"/>
    <w:rsid w:val="480706A9"/>
    <w:rsid w:val="48142AB6"/>
    <w:rsid w:val="482C45B3"/>
    <w:rsid w:val="483A1816"/>
    <w:rsid w:val="48741AB6"/>
    <w:rsid w:val="487B2E45"/>
    <w:rsid w:val="4882187E"/>
    <w:rsid w:val="48C52312"/>
    <w:rsid w:val="48C540C0"/>
    <w:rsid w:val="48D5496B"/>
    <w:rsid w:val="48E50A71"/>
    <w:rsid w:val="49042E3A"/>
    <w:rsid w:val="496F169D"/>
    <w:rsid w:val="49A75C13"/>
    <w:rsid w:val="49C01457"/>
    <w:rsid w:val="49ED38CE"/>
    <w:rsid w:val="4A01737A"/>
    <w:rsid w:val="4A163063"/>
    <w:rsid w:val="4A2F2139"/>
    <w:rsid w:val="4A404346"/>
    <w:rsid w:val="4A6209BE"/>
    <w:rsid w:val="4A702F0E"/>
    <w:rsid w:val="4AF313B8"/>
    <w:rsid w:val="4B133808"/>
    <w:rsid w:val="4B6127C6"/>
    <w:rsid w:val="4B63240D"/>
    <w:rsid w:val="4B92472D"/>
    <w:rsid w:val="4BC575D2"/>
    <w:rsid w:val="4BCA58A8"/>
    <w:rsid w:val="4BE17747"/>
    <w:rsid w:val="4C325F10"/>
    <w:rsid w:val="4C416153"/>
    <w:rsid w:val="4C433C79"/>
    <w:rsid w:val="4C5515D3"/>
    <w:rsid w:val="4C7C6027"/>
    <w:rsid w:val="4C83051A"/>
    <w:rsid w:val="4C994B5B"/>
    <w:rsid w:val="4CD945DE"/>
    <w:rsid w:val="4D135D42"/>
    <w:rsid w:val="4D185106"/>
    <w:rsid w:val="4D1B69A4"/>
    <w:rsid w:val="4D381304"/>
    <w:rsid w:val="4D956757"/>
    <w:rsid w:val="4D965582"/>
    <w:rsid w:val="4DB0533F"/>
    <w:rsid w:val="4DB841F3"/>
    <w:rsid w:val="4DE964F6"/>
    <w:rsid w:val="4E8A7B66"/>
    <w:rsid w:val="4E992277"/>
    <w:rsid w:val="4ED4505D"/>
    <w:rsid w:val="4ED65279"/>
    <w:rsid w:val="4EEF5311"/>
    <w:rsid w:val="4EFE20DA"/>
    <w:rsid w:val="4F18120D"/>
    <w:rsid w:val="4F22401A"/>
    <w:rsid w:val="4F396CDF"/>
    <w:rsid w:val="4FA93BA7"/>
    <w:rsid w:val="4FD47751"/>
    <w:rsid w:val="4FF621C9"/>
    <w:rsid w:val="502E62AD"/>
    <w:rsid w:val="503A35E5"/>
    <w:rsid w:val="50472057"/>
    <w:rsid w:val="50502E09"/>
    <w:rsid w:val="506B7C43"/>
    <w:rsid w:val="50B96C00"/>
    <w:rsid w:val="50CC6933"/>
    <w:rsid w:val="50DB5F91"/>
    <w:rsid w:val="50E701E5"/>
    <w:rsid w:val="512C5624"/>
    <w:rsid w:val="51C222B6"/>
    <w:rsid w:val="521C0191"/>
    <w:rsid w:val="5246463F"/>
    <w:rsid w:val="52642B9B"/>
    <w:rsid w:val="529671F9"/>
    <w:rsid w:val="52A03BD4"/>
    <w:rsid w:val="52B23907"/>
    <w:rsid w:val="52B72CCB"/>
    <w:rsid w:val="52E2243E"/>
    <w:rsid w:val="531225F7"/>
    <w:rsid w:val="53226CDE"/>
    <w:rsid w:val="537E1A3B"/>
    <w:rsid w:val="5382152B"/>
    <w:rsid w:val="538A03E0"/>
    <w:rsid w:val="53905437"/>
    <w:rsid w:val="53A574BD"/>
    <w:rsid w:val="53BA0CC5"/>
    <w:rsid w:val="541008E5"/>
    <w:rsid w:val="5415414D"/>
    <w:rsid w:val="54260108"/>
    <w:rsid w:val="54411979"/>
    <w:rsid w:val="544B4013"/>
    <w:rsid w:val="545F1302"/>
    <w:rsid w:val="549D4B07"/>
    <w:rsid w:val="54C3004D"/>
    <w:rsid w:val="54D062C6"/>
    <w:rsid w:val="55304730"/>
    <w:rsid w:val="55410F72"/>
    <w:rsid w:val="554C3B9F"/>
    <w:rsid w:val="5586381E"/>
    <w:rsid w:val="55AF05D2"/>
    <w:rsid w:val="55B81195"/>
    <w:rsid w:val="55F12998"/>
    <w:rsid w:val="55F668FC"/>
    <w:rsid w:val="55FE21F1"/>
    <w:rsid w:val="56224F72"/>
    <w:rsid w:val="56270168"/>
    <w:rsid w:val="56300645"/>
    <w:rsid w:val="5708799A"/>
    <w:rsid w:val="571D1301"/>
    <w:rsid w:val="5721781E"/>
    <w:rsid w:val="572E2943"/>
    <w:rsid w:val="57527466"/>
    <w:rsid w:val="57756282"/>
    <w:rsid w:val="57A103CF"/>
    <w:rsid w:val="57AE6D93"/>
    <w:rsid w:val="57CA16F3"/>
    <w:rsid w:val="57D367F9"/>
    <w:rsid w:val="582C7CB7"/>
    <w:rsid w:val="583059FA"/>
    <w:rsid w:val="586E7784"/>
    <w:rsid w:val="58A36161"/>
    <w:rsid w:val="58B56D36"/>
    <w:rsid w:val="58B8511B"/>
    <w:rsid w:val="58C95DE5"/>
    <w:rsid w:val="58ED7447"/>
    <w:rsid w:val="58F307D5"/>
    <w:rsid w:val="58F333FF"/>
    <w:rsid w:val="59387281"/>
    <w:rsid w:val="593B28A8"/>
    <w:rsid w:val="59653481"/>
    <w:rsid w:val="59A246D5"/>
    <w:rsid w:val="59D32AE1"/>
    <w:rsid w:val="59EE3A76"/>
    <w:rsid w:val="5A201A9E"/>
    <w:rsid w:val="5A2E22FE"/>
    <w:rsid w:val="5A6B26EF"/>
    <w:rsid w:val="5A8D7133"/>
    <w:rsid w:val="5AA7634B"/>
    <w:rsid w:val="5AB1171C"/>
    <w:rsid w:val="5B130FC6"/>
    <w:rsid w:val="5B1E5FDD"/>
    <w:rsid w:val="5B2027D8"/>
    <w:rsid w:val="5B242EC8"/>
    <w:rsid w:val="5B721E85"/>
    <w:rsid w:val="5BB93F58"/>
    <w:rsid w:val="5C0F3D52"/>
    <w:rsid w:val="5C7659A5"/>
    <w:rsid w:val="5C930305"/>
    <w:rsid w:val="5CC613FD"/>
    <w:rsid w:val="5CF0029A"/>
    <w:rsid w:val="5D081F0B"/>
    <w:rsid w:val="5D301FF8"/>
    <w:rsid w:val="5D5850AB"/>
    <w:rsid w:val="5D6677C8"/>
    <w:rsid w:val="5D7F6ADB"/>
    <w:rsid w:val="5D902A97"/>
    <w:rsid w:val="5DAE61D8"/>
    <w:rsid w:val="5DDA1FA8"/>
    <w:rsid w:val="5DE7793E"/>
    <w:rsid w:val="5E39691C"/>
    <w:rsid w:val="5E47584B"/>
    <w:rsid w:val="5E7A598C"/>
    <w:rsid w:val="5E7D2237"/>
    <w:rsid w:val="5E7F4FE5"/>
    <w:rsid w:val="5EA71675"/>
    <w:rsid w:val="5EAB7FF3"/>
    <w:rsid w:val="5EB90C6A"/>
    <w:rsid w:val="5F30008D"/>
    <w:rsid w:val="5F4E6098"/>
    <w:rsid w:val="5F5024DD"/>
    <w:rsid w:val="5F6B5569"/>
    <w:rsid w:val="5F6E604F"/>
    <w:rsid w:val="5F8403D9"/>
    <w:rsid w:val="5F922AF6"/>
    <w:rsid w:val="5FC4513D"/>
    <w:rsid w:val="5FF13CC0"/>
    <w:rsid w:val="601243E7"/>
    <w:rsid w:val="603B318E"/>
    <w:rsid w:val="60661887"/>
    <w:rsid w:val="60A46F85"/>
    <w:rsid w:val="60AD7223"/>
    <w:rsid w:val="60B036F6"/>
    <w:rsid w:val="60B41BD6"/>
    <w:rsid w:val="60F872D1"/>
    <w:rsid w:val="61447E20"/>
    <w:rsid w:val="61477910"/>
    <w:rsid w:val="61516038"/>
    <w:rsid w:val="61620FE5"/>
    <w:rsid w:val="6175447D"/>
    <w:rsid w:val="61826B9A"/>
    <w:rsid w:val="61C40F61"/>
    <w:rsid w:val="61E41603"/>
    <w:rsid w:val="61EE278A"/>
    <w:rsid w:val="623256AA"/>
    <w:rsid w:val="62410803"/>
    <w:rsid w:val="6267026A"/>
    <w:rsid w:val="6299419B"/>
    <w:rsid w:val="62CA07F9"/>
    <w:rsid w:val="62F15D85"/>
    <w:rsid w:val="631B2E02"/>
    <w:rsid w:val="633013C5"/>
    <w:rsid w:val="63387E58"/>
    <w:rsid w:val="63422A85"/>
    <w:rsid w:val="635F7193"/>
    <w:rsid w:val="63770981"/>
    <w:rsid w:val="638E1826"/>
    <w:rsid w:val="63964B41"/>
    <w:rsid w:val="63A84CB0"/>
    <w:rsid w:val="63CE5BCA"/>
    <w:rsid w:val="63EF260C"/>
    <w:rsid w:val="63FF1893"/>
    <w:rsid w:val="640C3E97"/>
    <w:rsid w:val="641E0DFC"/>
    <w:rsid w:val="6472739A"/>
    <w:rsid w:val="64803865"/>
    <w:rsid w:val="64E078AA"/>
    <w:rsid w:val="65055B18"/>
    <w:rsid w:val="65384361"/>
    <w:rsid w:val="6589499B"/>
    <w:rsid w:val="65FD3A5C"/>
    <w:rsid w:val="661C580F"/>
    <w:rsid w:val="662446C4"/>
    <w:rsid w:val="66417024"/>
    <w:rsid w:val="66532583"/>
    <w:rsid w:val="669C425A"/>
    <w:rsid w:val="66A23F66"/>
    <w:rsid w:val="670D457F"/>
    <w:rsid w:val="67106F11"/>
    <w:rsid w:val="672145A9"/>
    <w:rsid w:val="67226E55"/>
    <w:rsid w:val="672F3320"/>
    <w:rsid w:val="67584625"/>
    <w:rsid w:val="677879E5"/>
    <w:rsid w:val="67896ED4"/>
    <w:rsid w:val="678D61E4"/>
    <w:rsid w:val="67E20393"/>
    <w:rsid w:val="67F02AB0"/>
    <w:rsid w:val="682664D1"/>
    <w:rsid w:val="687F5BE1"/>
    <w:rsid w:val="68850E7E"/>
    <w:rsid w:val="68AB6EB0"/>
    <w:rsid w:val="68BA5BE4"/>
    <w:rsid w:val="69020CEC"/>
    <w:rsid w:val="6910009B"/>
    <w:rsid w:val="69414646"/>
    <w:rsid w:val="69601EB7"/>
    <w:rsid w:val="699022E4"/>
    <w:rsid w:val="69D00DEB"/>
    <w:rsid w:val="69E93C5A"/>
    <w:rsid w:val="6A1A02B8"/>
    <w:rsid w:val="6A2A031E"/>
    <w:rsid w:val="6A4964A7"/>
    <w:rsid w:val="6A707ED8"/>
    <w:rsid w:val="6A717B7E"/>
    <w:rsid w:val="6AAF6C52"/>
    <w:rsid w:val="6ABF604C"/>
    <w:rsid w:val="6AC67AF8"/>
    <w:rsid w:val="6AD37813"/>
    <w:rsid w:val="6AD93CCF"/>
    <w:rsid w:val="6B466EA6"/>
    <w:rsid w:val="6B6F6C1F"/>
    <w:rsid w:val="6BA134BB"/>
    <w:rsid w:val="6BC95638"/>
    <w:rsid w:val="6BCF0C2E"/>
    <w:rsid w:val="6BEB640D"/>
    <w:rsid w:val="6C3C2767"/>
    <w:rsid w:val="6C502023"/>
    <w:rsid w:val="6C7041BF"/>
    <w:rsid w:val="6C951E77"/>
    <w:rsid w:val="6CBA465E"/>
    <w:rsid w:val="6CD01D77"/>
    <w:rsid w:val="6CDE381E"/>
    <w:rsid w:val="6CF070AE"/>
    <w:rsid w:val="6CF43042"/>
    <w:rsid w:val="6CF7668E"/>
    <w:rsid w:val="6D513FF0"/>
    <w:rsid w:val="6D67771A"/>
    <w:rsid w:val="6D9E6217"/>
    <w:rsid w:val="6E3914DB"/>
    <w:rsid w:val="6E57325F"/>
    <w:rsid w:val="6E9A3775"/>
    <w:rsid w:val="6EA165BF"/>
    <w:rsid w:val="6EC72090"/>
    <w:rsid w:val="6F0772A4"/>
    <w:rsid w:val="6F280D81"/>
    <w:rsid w:val="6F3670AA"/>
    <w:rsid w:val="6F443D25"/>
    <w:rsid w:val="6F67671B"/>
    <w:rsid w:val="6F773AB6"/>
    <w:rsid w:val="6F91409C"/>
    <w:rsid w:val="6FA26D85"/>
    <w:rsid w:val="6FA65ECF"/>
    <w:rsid w:val="6FA7614A"/>
    <w:rsid w:val="6FCF744E"/>
    <w:rsid w:val="700E61C9"/>
    <w:rsid w:val="701C35B4"/>
    <w:rsid w:val="705A140E"/>
    <w:rsid w:val="705C4D2F"/>
    <w:rsid w:val="70767C84"/>
    <w:rsid w:val="707C599A"/>
    <w:rsid w:val="707D50FC"/>
    <w:rsid w:val="70EB0C6D"/>
    <w:rsid w:val="711041C2"/>
    <w:rsid w:val="71155335"/>
    <w:rsid w:val="711C2B67"/>
    <w:rsid w:val="717A163C"/>
    <w:rsid w:val="717A57AC"/>
    <w:rsid w:val="718C0F4C"/>
    <w:rsid w:val="71A76679"/>
    <w:rsid w:val="71CA25C3"/>
    <w:rsid w:val="720B74BE"/>
    <w:rsid w:val="72277415"/>
    <w:rsid w:val="728E539F"/>
    <w:rsid w:val="72A76461"/>
    <w:rsid w:val="72B24F8E"/>
    <w:rsid w:val="72B34E05"/>
    <w:rsid w:val="72B666A4"/>
    <w:rsid w:val="72DB610A"/>
    <w:rsid w:val="72E94CCB"/>
    <w:rsid w:val="72F571CC"/>
    <w:rsid w:val="72F93721"/>
    <w:rsid w:val="730D6C0C"/>
    <w:rsid w:val="73504D4A"/>
    <w:rsid w:val="73BE5AE3"/>
    <w:rsid w:val="73EE1EB8"/>
    <w:rsid w:val="742D562D"/>
    <w:rsid w:val="74512B28"/>
    <w:rsid w:val="74534AF2"/>
    <w:rsid w:val="74B310ED"/>
    <w:rsid w:val="750D2EF3"/>
    <w:rsid w:val="75114065"/>
    <w:rsid w:val="751F3575"/>
    <w:rsid w:val="7521074C"/>
    <w:rsid w:val="75581306"/>
    <w:rsid w:val="756B03B2"/>
    <w:rsid w:val="75840CDB"/>
    <w:rsid w:val="758E56B6"/>
    <w:rsid w:val="75A31161"/>
    <w:rsid w:val="75C80BC8"/>
    <w:rsid w:val="76263B40"/>
    <w:rsid w:val="76277FE4"/>
    <w:rsid w:val="765960DA"/>
    <w:rsid w:val="767174B1"/>
    <w:rsid w:val="77037C1B"/>
    <w:rsid w:val="773F310C"/>
    <w:rsid w:val="7746169E"/>
    <w:rsid w:val="777F175A"/>
    <w:rsid w:val="778A1F2E"/>
    <w:rsid w:val="77A47413"/>
    <w:rsid w:val="77CE623E"/>
    <w:rsid w:val="77DE2925"/>
    <w:rsid w:val="77F51A1C"/>
    <w:rsid w:val="78250553"/>
    <w:rsid w:val="78454752"/>
    <w:rsid w:val="78845E5A"/>
    <w:rsid w:val="78A51694"/>
    <w:rsid w:val="78A771BA"/>
    <w:rsid w:val="792C76C0"/>
    <w:rsid w:val="79440EAD"/>
    <w:rsid w:val="79921C19"/>
    <w:rsid w:val="79A272C8"/>
    <w:rsid w:val="79AD6A52"/>
    <w:rsid w:val="79C142AC"/>
    <w:rsid w:val="79EB68F1"/>
    <w:rsid w:val="7A893B99"/>
    <w:rsid w:val="7AAC5531"/>
    <w:rsid w:val="7AC676A0"/>
    <w:rsid w:val="7B821819"/>
    <w:rsid w:val="7BA63CB2"/>
    <w:rsid w:val="7BB045D8"/>
    <w:rsid w:val="7BB06759"/>
    <w:rsid w:val="7BB51BEE"/>
    <w:rsid w:val="7C3522B8"/>
    <w:rsid w:val="7C54669C"/>
    <w:rsid w:val="7C6929D9"/>
    <w:rsid w:val="7C7A4BE6"/>
    <w:rsid w:val="7C7A7ECB"/>
    <w:rsid w:val="7CBE2D25"/>
    <w:rsid w:val="7CDB5685"/>
    <w:rsid w:val="7CDC31AB"/>
    <w:rsid w:val="7CE85FF3"/>
    <w:rsid w:val="7DE1316F"/>
    <w:rsid w:val="7E0B5B3E"/>
    <w:rsid w:val="7E0B7E1E"/>
    <w:rsid w:val="7E3D3024"/>
    <w:rsid w:val="7E6A73EB"/>
    <w:rsid w:val="7E7318ED"/>
    <w:rsid w:val="7E9F26E2"/>
    <w:rsid w:val="7EBB39C0"/>
    <w:rsid w:val="7EBC3294"/>
    <w:rsid w:val="7EC55DD4"/>
    <w:rsid w:val="7ED4682F"/>
    <w:rsid w:val="7EF0118F"/>
    <w:rsid w:val="7F0A70E2"/>
    <w:rsid w:val="7F833DB1"/>
    <w:rsid w:val="7FAC43B7"/>
    <w:rsid w:val="7FCE7ECF"/>
    <w:rsid w:val="7FD12D6F"/>
    <w:rsid w:val="7FD36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1"/>
    <w:autoRedefine/>
    <w:qFormat/>
    <w:uiPriority w:val="0"/>
    <w:pPr>
      <w:spacing w:after="120"/>
      <w:ind w:left="420" w:leftChars="200"/>
    </w:pPr>
    <w:rPr>
      <w:szCs w:val="24"/>
    </w:rPr>
  </w:style>
  <w:style w:type="paragraph" w:styleId="7">
    <w:name w:val="Date"/>
    <w:basedOn w:val="1"/>
    <w:next w:val="1"/>
    <w:autoRedefine/>
    <w:qFormat/>
    <w:uiPriority w:val="0"/>
    <w:pPr>
      <w:ind w:left="100" w:leftChars="25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Default"/>
    <w:next w:val="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Table Paragraph"/>
    <w:basedOn w:val="1"/>
    <w:autoRedefine/>
    <w:qFormat/>
    <w:uiPriority w:val="1"/>
    <w:rPr>
      <w:rFonts w:ascii="宋体" w:hAnsi="宋体" w:eastAsia="宋体" w:cs="宋体"/>
      <w:lang w:val="zh-CN" w:eastAsia="zh-CN" w:bidi="zh-CN"/>
    </w:rPr>
  </w:style>
  <w:style w:type="character" w:customStyle="1" w:styleId="21">
    <w:name w:val="font21"/>
    <w:basedOn w:val="14"/>
    <w:qFormat/>
    <w:uiPriority w:val="0"/>
    <w:rPr>
      <w:rFonts w:hint="eastAsia" w:ascii="微软雅黑" w:hAnsi="微软雅黑" w:eastAsia="微软雅黑" w:cs="微软雅黑"/>
      <w:color w:val="000000"/>
      <w:sz w:val="20"/>
      <w:szCs w:val="20"/>
      <w:u w:val="none"/>
    </w:rPr>
  </w:style>
  <w:style w:type="character" w:customStyle="1" w:styleId="22">
    <w:name w:val="font51"/>
    <w:basedOn w:val="14"/>
    <w:qFormat/>
    <w:uiPriority w:val="0"/>
    <w:rPr>
      <w:rFonts w:ascii="Calibri" w:hAnsi="Calibri" w:cs="Calibri"/>
      <w:color w:val="000000"/>
      <w:sz w:val="20"/>
      <w:szCs w:val="20"/>
      <w:u w:val="none"/>
    </w:rPr>
  </w:style>
  <w:style w:type="character" w:customStyle="1" w:styleId="23">
    <w:name w:val="font61"/>
    <w:basedOn w:val="14"/>
    <w:qFormat/>
    <w:uiPriority w:val="0"/>
    <w:rPr>
      <w:rFonts w:hint="default" w:ascii="Calibri" w:hAnsi="Calibri" w:cs="Calibri"/>
      <w:color w:val="000000"/>
      <w:sz w:val="26"/>
      <w:szCs w:val="26"/>
      <w:u w:val="none"/>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28214</Words>
  <Characters>30387</Characters>
  <TotalTime>44</TotalTime>
  <ScaleCrop>false</ScaleCrop>
  <LinksUpToDate>false</LinksUpToDate>
  <CharactersWithSpaces>31629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一只小咸于</cp:lastModifiedBy>
  <cp:lastPrinted>2025-02-13T08:07:00Z</cp:lastPrinted>
  <dcterms:modified xsi:type="dcterms:W3CDTF">2025-03-25T05:53:38Z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2052-12.1.0.20305</vt:lpwstr>
  </property>
  <property fmtid="{D5CDD505-2E9C-101B-9397-08002B2CF9AE}" pid="5" name="ICV">
    <vt:lpwstr>619DBFFC37CD4C9D95D67C7ED31688A5_13</vt:lpwstr>
  </property>
  <property fmtid="{D5CDD505-2E9C-101B-9397-08002B2CF9AE}" pid="6" name="KSOTemplateDocerSaveRecord">
    <vt:lpwstr>eyJoZGlkIjoiZTI5ZDJkMmM4MjA4YTM0MzBmOWQ0MzJmOTA5MjYyZWYiLCJ1c2VySWQiOiI0MzMyMjczOTgifQ==</vt:lpwstr>
  </property>
</Properties>
</file>