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cs="仿宋"/>
          <w:color w:val="auto"/>
          <w:sz w:val="32"/>
          <w:szCs w:val="32"/>
          <w:highlight w:val="none"/>
        </w:rPr>
      </w:pPr>
    </w:p>
    <w:p>
      <w:pPr>
        <w:spacing w:line="480" w:lineRule="exact"/>
        <w:jc w:val="center"/>
        <w:rPr>
          <w:rFonts w:hint="eastAsia" w:ascii="仿宋" w:hAnsi="仿宋" w:cs="仿宋"/>
          <w:b/>
          <w:color w:val="auto"/>
          <w:sz w:val="32"/>
          <w:szCs w:val="32"/>
          <w:highlight w:val="none"/>
        </w:rPr>
      </w:pPr>
    </w:p>
    <w:p>
      <w:pPr>
        <w:spacing w:line="360" w:lineRule="auto"/>
        <w:ind w:firstLine="260" w:firstLineChars="50"/>
        <w:jc w:val="center"/>
        <w:rPr>
          <w:rFonts w:hint="eastAsia" w:ascii="仿宋" w:hAnsi="仿宋" w:cs="仿宋"/>
          <w:b/>
          <w:color w:val="auto"/>
          <w:sz w:val="52"/>
          <w:szCs w:val="52"/>
          <w:highlight w:val="none"/>
        </w:rPr>
      </w:pPr>
    </w:p>
    <w:p>
      <w:pPr>
        <w:spacing w:line="360" w:lineRule="auto"/>
        <w:ind w:firstLine="260" w:firstLineChars="50"/>
        <w:jc w:val="center"/>
        <w:rPr>
          <w:rFonts w:hint="eastAsia" w:ascii="仿宋" w:hAnsi="仿宋" w:cs="仿宋"/>
          <w:b/>
          <w:color w:val="auto"/>
          <w:sz w:val="52"/>
          <w:szCs w:val="52"/>
          <w:highlight w:val="none"/>
        </w:rPr>
      </w:pPr>
    </w:p>
    <w:p>
      <w:pPr>
        <w:spacing w:line="360" w:lineRule="auto"/>
        <w:ind w:firstLine="260" w:firstLineChars="50"/>
        <w:jc w:val="center"/>
        <w:rPr>
          <w:rFonts w:hint="eastAsia" w:ascii="仿宋" w:hAnsi="仿宋" w:cs="仿宋"/>
          <w:b/>
          <w:color w:val="auto"/>
          <w:sz w:val="52"/>
          <w:szCs w:val="52"/>
          <w:highlight w:val="none"/>
        </w:rPr>
      </w:pPr>
      <w:r>
        <w:rPr>
          <w:rFonts w:hint="eastAsia" w:ascii="仿宋" w:hAnsi="仿宋" w:cs="仿宋"/>
          <w:b/>
          <w:color w:val="auto"/>
          <w:sz w:val="52"/>
          <w:szCs w:val="52"/>
          <w:highlight w:val="none"/>
          <w:lang w:eastAsia="zh-CN"/>
        </w:rPr>
        <w:t>沈阳市苏家屯区</w:t>
      </w:r>
      <w:r>
        <w:rPr>
          <w:rFonts w:hint="eastAsia" w:ascii="仿宋" w:hAnsi="仿宋" w:cs="仿宋"/>
          <w:b/>
          <w:color w:val="auto"/>
          <w:sz w:val="52"/>
          <w:szCs w:val="52"/>
          <w:highlight w:val="none"/>
        </w:rPr>
        <w:t>政府采购项目</w:t>
      </w:r>
    </w:p>
    <w:p>
      <w:pPr>
        <w:spacing w:line="360" w:lineRule="auto"/>
        <w:ind w:firstLine="120" w:firstLineChars="50"/>
        <w:jc w:val="center"/>
        <w:rPr>
          <w:rFonts w:hint="eastAsia" w:ascii="仿宋" w:hAnsi="仿宋" w:cs="仿宋"/>
          <w:b/>
          <w:color w:val="auto"/>
          <w:sz w:val="24"/>
          <w:highlight w:val="none"/>
        </w:rPr>
      </w:pPr>
    </w:p>
    <w:p>
      <w:pPr>
        <w:spacing w:line="360" w:lineRule="auto"/>
        <w:ind w:firstLine="240" w:firstLineChars="50"/>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货物类公开招标</w:t>
      </w:r>
    </w:p>
    <w:p>
      <w:pPr>
        <w:spacing w:line="360" w:lineRule="auto"/>
        <w:ind w:firstLine="120" w:firstLineChars="50"/>
        <w:jc w:val="center"/>
        <w:rPr>
          <w:rFonts w:hint="eastAsia" w:ascii="仿宋" w:hAnsi="仿宋" w:cs="仿宋"/>
          <w:b/>
          <w:color w:val="auto"/>
          <w:sz w:val="24"/>
          <w:highlight w:val="none"/>
        </w:rPr>
      </w:pPr>
    </w:p>
    <w:p>
      <w:pPr>
        <w:spacing w:line="360" w:lineRule="auto"/>
        <w:ind w:firstLine="240" w:firstLineChars="50"/>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招标文件</w:t>
      </w: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360" w:lineRule="auto"/>
        <w:ind w:firstLine="846" w:firstLineChars="235"/>
        <w:rPr>
          <w:rFonts w:hint="eastAsia" w:ascii="仿宋" w:hAnsi="仿宋" w:eastAsia="仿宋" w:cs="仿宋"/>
          <w:b/>
          <w:color w:val="auto"/>
          <w:sz w:val="36"/>
          <w:szCs w:val="36"/>
          <w:highlight w:val="none"/>
          <w:lang w:eastAsia="zh-CN"/>
        </w:rPr>
      </w:pPr>
      <w:r>
        <w:rPr>
          <w:rFonts w:hint="eastAsia" w:ascii="仿宋" w:hAnsi="仿宋" w:cs="仿宋"/>
          <w:b/>
          <w:color w:val="auto"/>
          <w:sz w:val="36"/>
          <w:szCs w:val="36"/>
          <w:highlight w:val="none"/>
        </w:rPr>
        <w:t>项目名称：</w:t>
      </w:r>
      <w:r>
        <w:rPr>
          <w:rFonts w:hint="eastAsia" w:ascii="仿宋" w:hAnsi="仿宋" w:cs="仿宋"/>
          <w:b/>
          <w:color w:val="auto"/>
          <w:sz w:val="36"/>
          <w:szCs w:val="36"/>
          <w:highlight w:val="none"/>
          <w:lang w:eastAsia="zh-CN"/>
        </w:rPr>
        <w:t>殡葬用品采购</w:t>
      </w:r>
    </w:p>
    <w:p>
      <w:pPr>
        <w:spacing w:line="360" w:lineRule="auto"/>
        <w:ind w:firstLine="846" w:firstLineChars="235"/>
        <w:rPr>
          <w:rFonts w:hint="eastAsia" w:ascii="仿宋" w:hAnsi="仿宋" w:cs="仿宋"/>
          <w:b/>
          <w:color w:val="auto"/>
          <w:sz w:val="36"/>
          <w:szCs w:val="36"/>
          <w:highlight w:val="none"/>
        </w:rPr>
      </w:pPr>
      <w:r>
        <w:rPr>
          <w:rFonts w:hint="eastAsia" w:ascii="仿宋" w:hAnsi="仿宋" w:cs="仿宋"/>
          <w:b/>
          <w:color w:val="auto"/>
          <w:sz w:val="36"/>
          <w:szCs w:val="36"/>
          <w:highlight w:val="none"/>
        </w:rPr>
        <w:t>项目编号：JH25-210111-00018</w:t>
      </w:r>
    </w:p>
    <w:p>
      <w:pPr>
        <w:spacing w:line="360" w:lineRule="auto"/>
        <w:ind w:firstLine="846" w:firstLineChars="235"/>
        <w:rPr>
          <w:rFonts w:hint="eastAsia" w:ascii="仿宋" w:hAnsi="仿宋" w:cs="仿宋"/>
          <w:b/>
          <w:color w:val="auto"/>
          <w:sz w:val="36"/>
          <w:szCs w:val="36"/>
          <w:highlight w:val="none"/>
        </w:rPr>
      </w:pPr>
      <w:r>
        <w:rPr>
          <w:rFonts w:hint="eastAsia" w:ascii="仿宋" w:hAnsi="仿宋" w:cs="仿宋"/>
          <w:b/>
          <w:color w:val="auto"/>
          <w:sz w:val="36"/>
          <w:szCs w:val="36"/>
          <w:highlight w:val="none"/>
        </w:rPr>
        <w:t>编制单位：辽宁浩亿招投标有限公司</w:t>
      </w:r>
    </w:p>
    <w:p>
      <w:pPr>
        <w:ind w:firstLine="846" w:firstLineChars="235"/>
        <w:jc w:val="center"/>
        <w:rPr>
          <w:rFonts w:hint="eastAsia" w:ascii="仿宋" w:hAnsi="仿宋" w:cs="仿宋"/>
          <w:b/>
          <w:bCs/>
          <w:color w:val="auto"/>
          <w:sz w:val="36"/>
          <w:szCs w:val="44"/>
          <w:highlight w:val="none"/>
        </w:rPr>
        <w:sectPr>
          <w:pgSz w:w="11906" w:h="16838"/>
          <w:pgMar w:top="1440" w:right="1800" w:bottom="1440" w:left="1800" w:header="851" w:footer="992" w:gutter="0"/>
          <w:cols w:space="720" w:num="1"/>
          <w:docGrid w:type="linesAndChars" w:linePitch="312" w:charSpace="0"/>
        </w:sectPr>
      </w:pPr>
    </w:p>
    <w:p>
      <w:pPr>
        <w:jc w:val="center"/>
        <w:rPr>
          <w:rFonts w:hint="eastAsia" w:ascii="仿宋" w:hAnsi="仿宋" w:cs="仿宋"/>
          <w:b/>
          <w:bCs/>
          <w:color w:val="auto"/>
          <w:sz w:val="44"/>
          <w:szCs w:val="44"/>
          <w:highlight w:val="none"/>
        </w:rPr>
      </w:pPr>
      <w:r>
        <w:rPr>
          <w:rFonts w:hint="eastAsia" w:ascii="仿宋" w:hAnsi="仿宋" w:cs="仿宋"/>
          <w:b/>
          <w:bCs/>
          <w:color w:val="auto"/>
          <w:sz w:val="44"/>
          <w:szCs w:val="44"/>
          <w:highlight w:val="none"/>
        </w:rPr>
        <w:t>目  录</w:t>
      </w:r>
    </w:p>
    <w:p>
      <w:pPr>
        <w:jc w:val="center"/>
        <w:rPr>
          <w:rFonts w:hint="eastAsia" w:ascii="仿宋" w:hAnsi="仿宋" w:cs="仿宋"/>
          <w:b/>
          <w:bCs/>
          <w:color w:val="auto"/>
          <w:sz w:val="44"/>
          <w:szCs w:val="44"/>
          <w:highlight w:val="none"/>
        </w:rPr>
      </w:pPr>
    </w:p>
    <w:p>
      <w:pPr>
        <w:pStyle w:val="55"/>
        <w:tabs>
          <w:tab w:val="right" w:leader="dot" w:pos="8306"/>
        </w:tabs>
        <w:spacing w:line="480" w:lineRule="auto"/>
        <w:rPr>
          <w:rFonts w:hint="eastAsia" w:ascii="仿宋" w:hAnsi="仿宋" w:cs="仿宋"/>
          <w:b/>
          <w:bCs/>
          <w:color w:val="auto"/>
          <w:sz w:val="24"/>
          <w:highlight w:val="none"/>
        </w:rPr>
      </w:pP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TOC \o "1-1" \h \u </w:instrText>
      </w:r>
      <w:r>
        <w:rPr>
          <w:rFonts w:hint="eastAsia" w:ascii="仿宋" w:hAnsi="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"_Toc7381" </w:instrText>
      </w:r>
      <w:r>
        <w:rPr>
          <w:color w:val="auto"/>
          <w:highlight w:val="none"/>
        </w:rPr>
        <w:fldChar w:fldCharType="separate"/>
      </w:r>
      <w:r>
        <w:rPr>
          <w:rFonts w:hint="eastAsia" w:ascii="仿宋" w:hAnsi="仿宋" w:cs="仿宋"/>
          <w:b/>
          <w:bCs/>
          <w:color w:val="auto"/>
          <w:sz w:val="24"/>
          <w:highlight w:val="none"/>
        </w:rPr>
        <w:t>招标公告</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_Toc7381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1</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pStyle w:val="55"/>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"_Toc9614" </w:instrText>
      </w:r>
      <w:r>
        <w:rPr>
          <w:color w:val="auto"/>
          <w:highlight w:val="none"/>
        </w:rPr>
        <w:fldChar w:fldCharType="separate"/>
      </w:r>
      <w:r>
        <w:rPr>
          <w:rFonts w:hint="eastAsia" w:ascii="仿宋" w:hAnsi="仿宋" w:cs="仿宋"/>
          <w:b/>
          <w:bCs/>
          <w:color w:val="auto"/>
          <w:sz w:val="24"/>
          <w:highlight w:val="none"/>
        </w:rPr>
        <w:t>第一章 投标人须知</w:t>
      </w:r>
      <w:r>
        <w:rPr>
          <w:rFonts w:hint="eastAsia" w:ascii="仿宋" w:hAnsi="仿宋" w:cs="仿宋"/>
          <w:b/>
          <w:bCs/>
          <w:color w:val="auto"/>
          <w:sz w:val="24"/>
          <w:highlight w:val="none"/>
        </w:rPr>
        <w:tab/>
      </w:r>
      <w:r>
        <w:rPr>
          <w:rFonts w:hint="eastAsia" w:ascii="仿宋" w:hAnsi="仿宋" w:cs="仿宋"/>
          <w:b/>
          <w:bCs/>
          <w:color w:val="auto"/>
          <w:sz w:val="24"/>
          <w:highlight w:val="none"/>
        </w:rPr>
        <w:t>4</w:t>
      </w:r>
      <w:r>
        <w:rPr>
          <w:rFonts w:hint="eastAsia" w:ascii="仿宋" w:hAnsi="仿宋" w:cs="仿宋"/>
          <w:b/>
          <w:bCs/>
          <w:color w:val="auto"/>
          <w:sz w:val="24"/>
          <w:highlight w:val="none"/>
        </w:rPr>
        <w:fldChar w:fldCharType="end"/>
      </w:r>
    </w:p>
    <w:p>
      <w:pPr>
        <w:pStyle w:val="55"/>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"_Toc6403" </w:instrText>
      </w:r>
      <w:r>
        <w:rPr>
          <w:color w:val="auto"/>
          <w:highlight w:val="none"/>
        </w:rPr>
        <w:fldChar w:fldCharType="separate"/>
      </w:r>
      <w:r>
        <w:rPr>
          <w:rFonts w:hint="eastAsia" w:ascii="仿宋" w:hAnsi="仿宋" w:cs="仿宋"/>
          <w:b/>
          <w:bCs/>
          <w:color w:val="auto"/>
          <w:sz w:val="24"/>
          <w:highlight w:val="none"/>
        </w:rPr>
        <w:t>第二章 投标文件内容及格式</w:t>
      </w:r>
      <w:r>
        <w:rPr>
          <w:rFonts w:hint="eastAsia" w:ascii="仿宋" w:hAnsi="仿宋" w:cs="仿宋"/>
          <w:b/>
          <w:bCs/>
          <w:color w:val="auto"/>
          <w:sz w:val="24"/>
          <w:highlight w:val="none"/>
        </w:rPr>
        <w:tab/>
      </w:r>
      <w:r>
        <w:rPr>
          <w:rFonts w:hint="eastAsia" w:ascii="仿宋" w:hAnsi="仿宋" w:cs="仿宋"/>
          <w:b/>
          <w:bCs/>
          <w:color w:val="auto"/>
          <w:sz w:val="24"/>
          <w:highlight w:val="none"/>
        </w:rPr>
        <w:t>19</w:t>
      </w:r>
      <w:r>
        <w:rPr>
          <w:rFonts w:hint="eastAsia" w:ascii="仿宋" w:hAnsi="仿宋" w:cs="仿宋"/>
          <w:b/>
          <w:bCs/>
          <w:color w:val="auto"/>
          <w:sz w:val="24"/>
          <w:highlight w:val="none"/>
        </w:rPr>
        <w:fldChar w:fldCharType="end"/>
      </w:r>
    </w:p>
    <w:p>
      <w:pPr>
        <w:pStyle w:val="55"/>
        <w:tabs>
          <w:tab w:val="right" w:leader="dot" w:pos="8306"/>
        </w:tabs>
        <w:spacing w:line="480" w:lineRule="auto"/>
        <w:rPr>
          <w:rFonts w:hint="eastAsia" w:ascii="仿宋" w:hAnsi="仿宋" w:eastAsia="仿宋" w:cs="仿宋"/>
          <w:b/>
          <w:bCs/>
          <w:color w:val="auto"/>
          <w:sz w:val="24"/>
          <w:highlight w:val="none"/>
          <w:lang w:eastAsia="zh-CN"/>
        </w:rPr>
      </w:pPr>
      <w:r>
        <w:rPr>
          <w:color w:val="auto"/>
          <w:highlight w:val="none"/>
        </w:rPr>
        <w:fldChar w:fldCharType="begin"/>
      </w:r>
      <w:r>
        <w:rPr>
          <w:color w:val="auto"/>
          <w:highlight w:val="none"/>
        </w:rPr>
        <w:instrText xml:space="preserve"> HYPERLINK \l "_Toc17590" </w:instrText>
      </w:r>
      <w:r>
        <w:rPr>
          <w:color w:val="auto"/>
          <w:highlight w:val="none"/>
        </w:rPr>
        <w:fldChar w:fldCharType="separate"/>
      </w:r>
      <w:r>
        <w:rPr>
          <w:rFonts w:hint="eastAsia" w:ascii="仿宋" w:hAnsi="仿宋" w:cs="仿宋"/>
          <w:b/>
          <w:bCs/>
          <w:color w:val="auto"/>
          <w:sz w:val="24"/>
          <w:highlight w:val="none"/>
        </w:rPr>
        <w:t>第三章 货物需求</w:t>
      </w:r>
      <w:r>
        <w:rPr>
          <w:rFonts w:hint="eastAsia" w:ascii="仿宋" w:hAnsi="仿宋" w:cs="仿宋"/>
          <w:b/>
          <w:bCs/>
          <w:color w:val="auto"/>
          <w:sz w:val="24"/>
          <w:highlight w:val="none"/>
        </w:rPr>
        <w:tab/>
      </w:r>
      <w:r>
        <w:rPr>
          <w:rFonts w:hint="eastAsia" w:ascii="仿宋" w:hAnsi="仿宋" w:cs="仿宋"/>
          <w:b/>
          <w:bCs/>
          <w:color w:val="auto"/>
          <w:sz w:val="24"/>
          <w:highlight w:val="none"/>
          <w:lang w:val="en-US" w:eastAsia="zh-CN"/>
        </w:rPr>
        <w:t>4</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lang w:val="en-US" w:eastAsia="zh-CN"/>
        </w:rPr>
        <w:t>5</w:t>
      </w:r>
    </w:p>
    <w:p>
      <w:pPr>
        <w:pStyle w:val="55"/>
        <w:tabs>
          <w:tab w:val="right" w:leader="dot" w:pos="8306"/>
        </w:tabs>
        <w:spacing w:line="480" w:lineRule="auto"/>
        <w:rPr>
          <w:rFonts w:hint="eastAsia" w:ascii="仿宋" w:hAnsi="仿宋" w:eastAsia="仿宋" w:cs="仿宋"/>
          <w:b/>
          <w:bCs/>
          <w:color w:val="auto"/>
          <w:sz w:val="24"/>
          <w:highlight w:val="none"/>
          <w:lang w:eastAsia="zh-CN"/>
        </w:rPr>
      </w:pPr>
      <w:r>
        <w:rPr>
          <w:color w:val="auto"/>
          <w:highlight w:val="none"/>
        </w:rPr>
        <w:fldChar w:fldCharType="begin"/>
      </w:r>
      <w:r>
        <w:rPr>
          <w:color w:val="auto"/>
          <w:highlight w:val="none"/>
        </w:rPr>
        <w:instrText xml:space="preserve"> HYPERLINK \l "_Toc25237" </w:instrText>
      </w:r>
      <w:r>
        <w:rPr>
          <w:color w:val="auto"/>
          <w:highlight w:val="none"/>
        </w:rPr>
        <w:fldChar w:fldCharType="separate"/>
      </w:r>
      <w:r>
        <w:rPr>
          <w:rFonts w:hint="eastAsia" w:ascii="仿宋" w:hAnsi="仿宋" w:cs="仿宋"/>
          <w:b/>
          <w:bCs/>
          <w:color w:val="auto"/>
          <w:sz w:val="24"/>
          <w:highlight w:val="none"/>
        </w:rPr>
        <w:t>第四章 评标方法</w:t>
      </w:r>
      <w:r>
        <w:rPr>
          <w:rFonts w:hint="eastAsia" w:ascii="仿宋" w:hAnsi="仿宋" w:cs="仿宋"/>
          <w:b/>
          <w:bCs/>
          <w:color w:val="auto"/>
          <w:sz w:val="24"/>
          <w:highlight w:val="none"/>
        </w:rPr>
        <w:tab/>
      </w:r>
      <w:r>
        <w:rPr>
          <w:rFonts w:hint="eastAsia" w:ascii="仿宋" w:hAnsi="仿宋" w:cs="仿宋"/>
          <w:b/>
          <w:bCs/>
          <w:color w:val="auto"/>
          <w:sz w:val="24"/>
          <w:highlight w:val="none"/>
          <w:lang w:val="en-US" w:eastAsia="zh-CN"/>
        </w:rPr>
        <w:t>4</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lang w:val="en-US" w:eastAsia="zh-CN"/>
        </w:rPr>
        <w:t>8</w:t>
      </w:r>
    </w:p>
    <w:p>
      <w:pPr>
        <w:pStyle w:val="55"/>
        <w:tabs>
          <w:tab w:val="right" w:leader="dot" w:pos="8306"/>
        </w:tabs>
        <w:spacing w:line="480" w:lineRule="auto"/>
        <w:rPr>
          <w:rFonts w:hint="eastAsia" w:ascii="仿宋" w:hAnsi="仿宋" w:eastAsia="仿宋" w:cs="仿宋"/>
          <w:b/>
          <w:bCs/>
          <w:color w:val="auto"/>
          <w:sz w:val="24"/>
          <w:highlight w:val="none"/>
          <w:lang w:eastAsia="zh-CN"/>
        </w:rPr>
      </w:pPr>
      <w:r>
        <w:rPr>
          <w:color w:val="auto"/>
          <w:highlight w:val="none"/>
        </w:rPr>
        <w:fldChar w:fldCharType="begin"/>
      </w:r>
      <w:r>
        <w:rPr>
          <w:color w:val="auto"/>
          <w:highlight w:val="none"/>
        </w:rPr>
        <w:instrText xml:space="preserve"> HYPERLINK \l "_Toc19588" </w:instrText>
      </w:r>
      <w:r>
        <w:rPr>
          <w:color w:val="auto"/>
          <w:highlight w:val="none"/>
        </w:rPr>
        <w:fldChar w:fldCharType="separate"/>
      </w:r>
      <w:r>
        <w:rPr>
          <w:rFonts w:hint="eastAsia" w:ascii="仿宋" w:hAnsi="仿宋" w:cs="仿宋"/>
          <w:b/>
          <w:bCs/>
          <w:color w:val="auto"/>
          <w:sz w:val="24"/>
          <w:highlight w:val="none"/>
        </w:rPr>
        <w:t>第五章 政府采购合同条款及格式</w:t>
      </w:r>
      <w:r>
        <w:rPr>
          <w:rFonts w:hint="eastAsia" w:ascii="仿宋" w:hAnsi="仿宋" w:cs="仿宋"/>
          <w:b/>
          <w:bCs/>
          <w:color w:val="auto"/>
          <w:sz w:val="24"/>
          <w:highlight w:val="none"/>
        </w:rPr>
        <w:tab/>
      </w:r>
      <w:r>
        <w:rPr>
          <w:rFonts w:hint="eastAsia" w:ascii="仿宋" w:hAnsi="仿宋" w:cs="仿宋"/>
          <w:b/>
          <w:bCs/>
          <w:color w:val="auto"/>
          <w:sz w:val="24"/>
          <w:highlight w:val="none"/>
          <w:lang w:val="en-US" w:eastAsia="zh-CN"/>
        </w:rPr>
        <w:t>5</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lang w:val="en-US" w:eastAsia="zh-CN"/>
        </w:rPr>
        <w:t>7</w:t>
      </w:r>
    </w:p>
    <w:p>
      <w:pPr>
        <w:spacing w:line="480" w:lineRule="auto"/>
        <w:rPr>
          <w:rFonts w:hint="eastAsia" w:ascii="仿宋" w:hAnsi="仿宋" w:cs="仿宋"/>
          <w:color w:val="auto"/>
          <w:highlight w:val="none"/>
        </w:rPr>
      </w:pPr>
      <w:r>
        <w:rPr>
          <w:rFonts w:hint="eastAsia" w:ascii="仿宋" w:hAnsi="仿宋" w:cs="仿宋"/>
          <w:b/>
          <w:bCs/>
          <w:color w:val="auto"/>
          <w:sz w:val="24"/>
          <w:highlight w:val="none"/>
        </w:rPr>
        <w:fldChar w:fldCharType="end"/>
      </w:r>
    </w:p>
    <w:p>
      <w:pPr>
        <w:pStyle w:val="3"/>
        <w:rPr>
          <w:rFonts w:hint="eastAsia" w:ascii="仿宋" w:hAnsi="仿宋" w:cs="仿宋"/>
          <w:color w:val="auto"/>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1124_WPSOffice_Level1"/>
      <w:bookmarkStart w:id="1" w:name="_Toc7381"/>
    </w:p>
    <w:p>
      <w:pPr>
        <w:pStyle w:val="3"/>
        <w:rPr>
          <w:rFonts w:hint="eastAsia" w:ascii="仿宋" w:hAnsi="仿宋" w:cs="仿宋"/>
          <w:color w:val="auto"/>
          <w:highlight w:val="none"/>
        </w:rPr>
      </w:pPr>
      <w:r>
        <w:rPr>
          <w:rFonts w:hint="eastAsia" w:ascii="仿宋" w:hAnsi="仿宋" w:cs="仿宋"/>
          <w:color w:val="auto"/>
          <w:highlight w:val="none"/>
          <w:lang w:eastAsia="zh-CN"/>
        </w:rPr>
        <w:t>殡葬用品采购</w:t>
      </w:r>
      <w:r>
        <w:rPr>
          <w:rFonts w:hint="eastAsia" w:ascii="仿宋" w:hAnsi="仿宋" w:cs="仿宋"/>
          <w:color w:val="auto"/>
          <w:highlight w:val="none"/>
        </w:rPr>
        <w:t>的招标公告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u w:val="single"/>
          <w:lang w:eastAsia="zh-CN"/>
        </w:rPr>
        <w:t>殡葬用品采购</w:t>
      </w:r>
      <w:r>
        <w:rPr>
          <w:rFonts w:hint="eastAsia" w:ascii="仿宋" w:hAnsi="仿宋" w:cs="仿宋"/>
          <w:color w:val="auto"/>
          <w:szCs w:val="21"/>
          <w:highlight w:val="none"/>
          <w:u w:val="none"/>
          <w:lang w:eastAsia="zh-CN"/>
        </w:rPr>
        <w:t>招标项目</w:t>
      </w:r>
      <w:r>
        <w:rPr>
          <w:rFonts w:hint="eastAsia" w:ascii="仿宋" w:hAnsi="仿宋" w:cs="仿宋"/>
          <w:color w:val="auto"/>
          <w:szCs w:val="21"/>
          <w:highlight w:val="none"/>
        </w:rPr>
        <w:t>的潜在供应商应在</w:t>
      </w:r>
      <w:r>
        <w:rPr>
          <w:rFonts w:hint="eastAsia" w:ascii="仿宋" w:hAnsi="仿宋" w:cs="仿宋"/>
          <w:color w:val="auto"/>
          <w:szCs w:val="21"/>
          <w:highlight w:val="none"/>
          <w:u w:val="single"/>
          <w:lang w:eastAsia="zh-CN"/>
        </w:rPr>
        <w:t>线上</w:t>
      </w:r>
      <w:r>
        <w:rPr>
          <w:rFonts w:hint="eastAsia" w:ascii="仿宋" w:hAnsi="仿宋" w:cs="仿宋"/>
          <w:color w:val="auto"/>
          <w:szCs w:val="21"/>
          <w:highlight w:val="none"/>
        </w:rPr>
        <w:t>获取招标文件，并于</w:t>
      </w:r>
      <w:r>
        <w:rPr>
          <w:rFonts w:hint="eastAsia" w:ascii="仿宋" w:hAnsi="仿宋" w:cs="仿宋"/>
          <w:color w:val="auto"/>
          <w:szCs w:val="21"/>
          <w:highlight w:val="none"/>
          <w:u w:val="single"/>
        </w:rPr>
        <w:t>2025</w:t>
      </w:r>
      <w:r>
        <w:rPr>
          <w:rFonts w:hint="eastAsia" w:ascii="仿宋" w:hAnsi="仿宋" w:cs="仿宋"/>
          <w:bCs/>
          <w:color w:val="auto"/>
          <w:szCs w:val="21"/>
          <w:highlight w:val="none"/>
          <w:u w:val="single"/>
        </w:rPr>
        <w:t>年</w:t>
      </w:r>
      <w:r>
        <w:rPr>
          <w:rFonts w:hint="eastAsia" w:ascii="仿宋" w:hAnsi="仿宋" w:cs="仿宋"/>
          <w:bCs/>
          <w:color w:val="auto"/>
          <w:szCs w:val="21"/>
          <w:highlight w:val="none"/>
          <w:u w:val="single"/>
          <w:lang w:val="en-US" w:eastAsia="zh-CN"/>
        </w:rPr>
        <w:t>04</w:t>
      </w:r>
      <w:r>
        <w:rPr>
          <w:rFonts w:hint="eastAsia" w:ascii="仿宋" w:hAnsi="仿宋" w:cs="仿宋"/>
          <w:bCs/>
          <w:color w:val="auto"/>
          <w:szCs w:val="21"/>
          <w:highlight w:val="none"/>
          <w:u w:val="single"/>
        </w:rPr>
        <w:t>月</w:t>
      </w:r>
      <w:r>
        <w:rPr>
          <w:rFonts w:hint="eastAsia" w:ascii="仿宋" w:hAnsi="仿宋" w:cs="仿宋"/>
          <w:bCs/>
          <w:color w:val="auto"/>
          <w:szCs w:val="21"/>
          <w:highlight w:val="none"/>
          <w:u w:val="single"/>
          <w:lang w:val="en-US" w:eastAsia="zh-CN"/>
        </w:rPr>
        <w:t>11</w:t>
      </w:r>
      <w:r>
        <w:rPr>
          <w:rFonts w:hint="eastAsia" w:ascii="仿宋" w:hAnsi="仿宋" w:cs="仿宋"/>
          <w:bCs/>
          <w:color w:val="auto"/>
          <w:szCs w:val="21"/>
          <w:highlight w:val="none"/>
          <w:u w:val="single"/>
        </w:rPr>
        <w:t>日</w:t>
      </w:r>
      <w:r>
        <w:rPr>
          <w:rFonts w:hint="eastAsia" w:ascii="仿宋" w:hAnsi="仿宋" w:cs="仿宋"/>
          <w:bCs/>
          <w:color w:val="auto"/>
          <w:szCs w:val="21"/>
          <w:highlight w:val="none"/>
          <w:u w:val="single"/>
          <w:lang w:val="en-US" w:eastAsia="zh-CN"/>
        </w:rPr>
        <w:t>9</w:t>
      </w:r>
      <w:r>
        <w:rPr>
          <w:rFonts w:hint="eastAsia" w:ascii="仿宋" w:hAnsi="仿宋" w:cs="仿宋"/>
          <w:bCs/>
          <w:color w:val="auto"/>
          <w:szCs w:val="21"/>
          <w:highlight w:val="none"/>
          <w:u w:val="single"/>
        </w:rPr>
        <w:t>点30分（</w:t>
      </w:r>
      <w:r>
        <w:rPr>
          <w:rFonts w:hint="eastAsia" w:ascii="仿宋" w:hAnsi="仿宋" w:cs="仿宋"/>
          <w:bCs/>
          <w:color w:val="auto"/>
          <w:szCs w:val="21"/>
          <w:highlight w:val="none"/>
        </w:rPr>
        <w:t>北京时间）前递交投标文件</w:t>
      </w:r>
      <w:r>
        <w:rPr>
          <w:rFonts w:hint="eastAsia" w:ascii="仿宋" w:hAnsi="仿宋" w:cs="仿宋"/>
          <w:color w:val="auto"/>
          <w:szCs w:val="21"/>
          <w:highlight w:val="none"/>
        </w:rPr>
        <w:t>。</w:t>
      </w:r>
    </w:p>
    <w:p>
      <w:pPr>
        <w:widowControl/>
        <w:adjustRightInd w:val="0"/>
        <w:snapToGrid w:val="0"/>
        <w:spacing w:line="360" w:lineRule="auto"/>
        <w:ind w:firstLine="420" w:firstLineChars="200"/>
        <w:jc w:val="left"/>
        <w:rPr>
          <w:rFonts w:hint="eastAsia" w:ascii="仿宋" w:hAnsi="仿宋" w:cs="仿宋"/>
          <w:b/>
          <w:bCs/>
          <w:color w:val="auto"/>
          <w:kern w:val="0"/>
          <w:szCs w:val="21"/>
          <w:highlight w:val="none"/>
        </w:rPr>
      </w:pPr>
    </w:p>
    <w:p>
      <w:pPr>
        <w:adjustRightInd w:val="0"/>
        <w:snapToGrid w:val="0"/>
        <w:spacing w:line="360" w:lineRule="auto"/>
        <w:rPr>
          <w:rFonts w:hint="eastAsia" w:ascii="仿宋" w:hAnsi="仿宋" w:cs="仿宋"/>
          <w:b/>
          <w:bCs/>
          <w:color w:val="auto"/>
          <w:szCs w:val="21"/>
          <w:highlight w:val="none"/>
        </w:rPr>
      </w:pPr>
      <w:bookmarkStart w:id="2" w:name="_Toc28359079"/>
      <w:bookmarkStart w:id="3" w:name="_Toc35393621"/>
      <w:bookmarkStart w:id="4" w:name="_Toc35393790"/>
      <w:bookmarkStart w:id="5" w:name="_Toc28359002"/>
      <w:bookmarkStart w:id="6" w:name="_Hlk24379207"/>
      <w:r>
        <w:rPr>
          <w:rFonts w:hint="eastAsia" w:ascii="仿宋" w:hAnsi="仿宋" w:cs="仿宋"/>
          <w:b/>
          <w:bCs/>
          <w:color w:val="auto"/>
          <w:szCs w:val="21"/>
          <w:highlight w:val="none"/>
        </w:rPr>
        <w:t>一、项目基本情况</w:t>
      </w:r>
      <w:bookmarkEnd w:id="2"/>
      <w:bookmarkEnd w:id="3"/>
      <w:bookmarkEnd w:id="4"/>
      <w:bookmarkEnd w:id="5"/>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项目编号：JH25-210111-00018</w:t>
      </w:r>
    </w:p>
    <w:p>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cs="仿宋"/>
          <w:color w:val="auto"/>
          <w:szCs w:val="21"/>
          <w:highlight w:val="none"/>
        </w:rPr>
        <w:t>项目名称：</w:t>
      </w:r>
      <w:r>
        <w:rPr>
          <w:rFonts w:hint="eastAsia" w:ascii="仿宋" w:hAnsi="仿宋" w:cs="仿宋"/>
          <w:color w:val="auto"/>
          <w:szCs w:val="21"/>
          <w:highlight w:val="none"/>
          <w:lang w:eastAsia="zh-CN"/>
        </w:rPr>
        <w:t>殡葬用品采购</w:t>
      </w:r>
    </w:p>
    <w:bookmarkEnd w:id="6"/>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包组编号：001</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预算金额：人民币</w:t>
      </w:r>
      <w:r>
        <w:rPr>
          <w:rFonts w:hint="eastAsia" w:ascii="仿宋" w:hAnsi="仿宋" w:cs="仿宋"/>
          <w:color w:val="auto"/>
          <w:szCs w:val="21"/>
          <w:highlight w:val="none"/>
          <w:lang w:eastAsia="zh-CN"/>
        </w:rPr>
        <w:t>5,795,000.00</w:t>
      </w:r>
      <w:r>
        <w:rPr>
          <w:rFonts w:hint="eastAsia" w:ascii="仿宋" w:hAnsi="仿宋" w:cs="仿宋"/>
          <w:color w:val="auto"/>
          <w:szCs w:val="21"/>
          <w:highlight w:val="none"/>
        </w:rPr>
        <w:t>元</w:t>
      </w:r>
    </w:p>
    <w:p>
      <w:pPr>
        <w:adjustRightInd w:val="0"/>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cs="仿宋"/>
          <w:color w:val="auto"/>
          <w:szCs w:val="21"/>
          <w:highlight w:val="none"/>
        </w:rPr>
        <w:t>最高限价：</w:t>
      </w:r>
      <w:r>
        <w:rPr>
          <w:rFonts w:hint="eastAsia" w:ascii="仿宋" w:hAnsi="仿宋" w:cs="仿宋"/>
          <w:color w:val="auto"/>
          <w:szCs w:val="21"/>
          <w:highlight w:val="none"/>
          <w:lang w:val="en-US" w:eastAsia="zh-CN"/>
        </w:rPr>
        <w:t>100%</w:t>
      </w:r>
    </w:p>
    <w:p>
      <w:pPr>
        <w:adjustRightInd w:val="0"/>
        <w:snapToGrid w:val="0"/>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采购需求：查看</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合同履行期限：</w:t>
      </w:r>
      <w:r>
        <w:rPr>
          <w:rFonts w:hint="eastAsia" w:ascii="仿宋" w:hAnsi="仿宋" w:cs="仿宋"/>
          <w:color w:val="auto"/>
          <w:szCs w:val="21"/>
          <w:highlight w:val="none"/>
          <w:lang w:val="en-US" w:eastAsia="zh-CN"/>
        </w:rPr>
        <w:t>3年，按采购人要求分批次进行供货</w:t>
      </w:r>
      <w:r>
        <w:rPr>
          <w:rFonts w:hint="eastAsia" w:ascii="仿宋" w:hAnsi="仿宋" w:cs="仿宋"/>
          <w:bCs/>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cs="仿宋"/>
          <w:color w:val="auto"/>
          <w:szCs w:val="21"/>
          <w:highlight w:val="none"/>
        </w:rPr>
        <w:t>需落实的政府采购政策内容：小微企业（含监狱企业）、残疾人就业政府采购政策、节能产品、环境标志产品等相关规定</w:t>
      </w:r>
      <w:r>
        <w:rPr>
          <w:rFonts w:hint="eastAsia" w:ascii="仿宋" w:hAnsi="仿宋" w:cs="仿宋"/>
          <w:color w:val="auto"/>
          <w:szCs w:val="21"/>
          <w:highlight w:val="none"/>
          <w:lang w:eastAsia="zh-CN"/>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本项目（</w:t>
      </w:r>
      <w:r>
        <w:rPr>
          <w:rFonts w:hint="eastAsia" w:ascii="仿宋" w:hAnsi="仿宋" w:cs="仿宋"/>
          <w:i/>
          <w:color w:val="auto"/>
          <w:szCs w:val="21"/>
          <w:highlight w:val="none"/>
        </w:rPr>
        <w:t>否</w:t>
      </w:r>
      <w:r>
        <w:rPr>
          <w:rFonts w:hint="eastAsia" w:ascii="仿宋" w:hAnsi="仿宋" w:cs="仿宋"/>
          <w:color w:val="auto"/>
          <w:szCs w:val="21"/>
          <w:highlight w:val="none"/>
        </w:rPr>
        <w:t>）接受联合体投标。</w:t>
      </w:r>
    </w:p>
    <w:p>
      <w:pPr>
        <w:adjustRightInd w:val="0"/>
        <w:snapToGrid w:val="0"/>
        <w:spacing w:line="360" w:lineRule="auto"/>
        <w:rPr>
          <w:rFonts w:hint="eastAsia" w:ascii="仿宋" w:hAnsi="仿宋" w:cs="仿宋"/>
          <w:b/>
          <w:bCs/>
          <w:color w:val="auto"/>
          <w:szCs w:val="21"/>
          <w:highlight w:val="none"/>
        </w:rPr>
      </w:pPr>
      <w:bookmarkStart w:id="7" w:name="_Toc28359003"/>
      <w:bookmarkStart w:id="8" w:name="_Toc35393791"/>
      <w:bookmarkStart w:id="9" w:name="_Toc28359080"/>
      <w:bookmarkStart w:id="10" w:name="_Toc35393622"/>
      <w:r>
        <w:rPr>
          <w:rFonts w:hint="eastAsia" w:ascii="仿宋" w:hAnsi="仿宋" w:cs="仿宋"/>
          <w:b/>
          <w:bCs/>
          <w:color w:val="auto"/>
          <w:szCs w:val="21"/>
          <w:highlight w:val="none"/>
        </w:rPr>
        <w:t>二、供应商的资格要求：</w:t>
      </w:r>
      <w:bookmarkEnd w:id="7"/>
      <w:bookmarkEnd w:id="8"/>
      <w:bookmarkEnd w:id="9"/>
      <w:bookmarkEnd w:id="10"/>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1.满足《中华人民共和国政府采购法》第二十二条规定；</w:t>
      </w:r>
    </w:p>
    <w:p>
      <w:pPr>
        <w:adjustRightInd w:val="0"/>
        <w:snapToGrid w:val="0"/>
        <w:spacing w:line="360" w:lineRule="auto"/>
        <w:ind w:firstLine="420" w:firstLineChars="200"/>
        <w:rPr>
          <w:rFonts w:hint="eastAsia" w:ascii="仿宋" w:hAnsi="仿宋" w:cs="仿宋"/>
          <w:b/>
          <w:color w:val="auto"/>
          <w:szCs w:val="21"/>
          <w:highlight w:val="none"/>
        </w:rPr>
      </w:pPr>
      <w:bookmarkStart w:id="11" w:name="_Toc28359004"/>
      <w:bookmarkStart w:id="12" w:name="_Toc28359081"/>
      <w:r>
        <w:rPr>
          <w:rFonts w:hint="eastAsia" w:ascii="仿宋" w:hAnsi="仿宋" w:cs="仿宋"/>
          <w:b/>
          <w:color w:val="auto"/>
          <w:szCs w:val="21"/>
          <w:highlight w:val="none"/>
        </w:rPr>
        <w:t>2.落实政府采购政策需满足的资格要求：本项目专门面向中小企业采购，供应商所投产品厂商须为中型或小型或微型企业，残疾人福利性单位、监狱企业视同小型和微型企业；</w:t>
      </w:r>
    </w:p>
    <w:p>
      <w:pPr>
        <w:adjustRightInd w:val="0"/>
        <w:snapToGrid w:val="0"/>
        <w:spacing w:line="360" w:lineRule="auto"/>
        <w:ind w:firstLine="420" w:firstLineChars="200"/>
        <w:rPr>
          <w:rFonts w:hint="eastAsia" w:ascii="仿宋" w:hAnsi="仿宋" w:cs="仿宋"/>
          <w:i/>
          <w:iCs/>
          <w:color w:val="auto"/>
          <w:szCs w:val="21"/>
          <w:highlight w:val="none"/>
          <w:u w:val="single"/>
        </w:rPr>
      </w:pPr>
      <w:r>
        <w:rPr>
          <w:rFonts w:hint="eastAsia" w:ascii="仿宋" w:hAnsi="仿宋" w:cs="仿宋"/>
          <w:color w:val="auto"/>
          <w:szCs w:val="21"/>
          <w:highlight w:val="none"/>
        </w:rPr>
        <w:t>3.本项目的特定资格要求：无。</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三、政府采购供应商入库须知</w:t>
      </w:r>
    </w:p>
    <w:p>
      <w:pPr>
        <w:adjustRightInd w:val="0"/>
        <w:snapToGrid w:val="0"/>
        <w:spacing w:line="360" w:lineRule="auto"/>
        <w:ind w:firstLine="420" w:firstLineChars="200"/>
        <w:rPr>
          <w:rFonts w:hint="eastAsia" w:ascii="仿宋" w:hAnsi="仿宋" w:cs="仿宋"/>
          <w:color w:val="auto"/>
          <w:szCs w:val="21"/>
          <w:highlight w:val="none"/>
        </w:rPr>
      </w:pPr>
      <w:bookmarkStart w:id="13" w:name="_Toc35393792"/>
      <w:bookmarkStart w:id="14" w:name="_Toc35393623"/>
      <w:r>
        <w:rPr>
          <w:rFonts w:hint="eastAsia" w:ascii="仿宋" w:hAnsi="仿宋" w:cs="仿宋"/>
          <w:color w:val="auto"/>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四、获取招标文件</w:t>
      </w:r>
      <w:bookmarkEnd w:id="11"/>
      <w:bookmarkEnd w:id="12"/>
      <w:bookmarkEnd w:id="13"/>
      <w:bookmarkEnd w:id="14"/>
    </w:p>
    <w:p>
      <w:pPr>
        <w:adjustRightInd w:val="0"/>
        <w:snapToGrid w:val="0"/>
        <w:ind w:firstLine="540"/>
        <w:rPr>
          <w:rFonts w:hint="eastAsia" w:ascii="仿宋" w:hAnsi="仿宋" w:cs="仿宋"/>
          <w:color w:val="auto"/>
          <w:szCs w:val="21"/>
          <w:highlight w:val="none"/>
        </w:rPr>
      </w:pPr>
      <w:r>
        <w:rPr>
          <w:rFonts w:hint="eastAsia" w:ascii="仿宋" w:hAnsi="仿宋" w:cs="仿宋"/>
          <w:color w:val="auto"/>
          <w:szCs w:val="21"/>
          <w:highlight w:val="none"/>
        </w:rPr>
        <w:t>时间：</w:t>
      </w:r>
      <w:r>
        <w:rPr>
          <w:rFonts w:hint="eastAsia" w:ascii="仿宋" w:hAnsi="仿宋" w:cs="仿宋"/>
          <w:color w:val="auto"/>
          <w:szCs w:val="21"/>
          <w:highlight w:val="none"/>
          <w:u w:val="single"/>
        </w:rPr>
        <w:t>202</w:t>
      </w:r>
      <w:r>
        <w:rPr>
          <w:rFonts w:hint="eastAsia" w:ascii="仿宋" w:hAnsi="仿宋" w:cs="仿宋"/>
          <w:color w:val="auto"/>
          <w:szCs w:val="21"/>
          <w:highlight w:val="none"/>
          <w:u w:val="single"/>
          <w:lang w:val="en-US" w:eastAsia="zh-CN"/>
        </w:rPr>
        <w:t>5</w:t>
      </w:r>
      <w:r>
        <w:rPr>
          <w:rFonts w:hint="eastAsia" w:ascii="仿宋" w:hAnsi="仿宋" w:cs="仿宋"/>
          <w:color w:val="auto"/>
          <w:szCs w:val="21"/>
          <w:highlight w:val="none"/>
          <w:u w:val="single"/>
        </w:rPr>
        <w:t>年</w:t>
      </w:r>
      <w:r>
        <w:rPr>
          <w:rFonts w:hint="eastAsia" w:ascii="仿宋" w:hAnsi="仿宋" w:cs="仿宋"/>
          <w:color w:val="auto"/>
          <w:szCs w:val="21"/>
          <w:highlight w:val="none"/>
          <w:u w:val="single"/>
          <w:lang w:val="en-US" w:eastAsia="zh-CN"/>
        </w:rPr>
        <w:t>03</w:t>
      </w:r>
      <w:r>
        <w:rPr>
          <w:rFonts w:hint="eastAsia" w:ascii="仿宋" w:hAnsi="仿宋" w:cs="仿宋"/>
          <w:color w:val="auto"/>
          <w:szCs w:val="21"/>
          <w:highlight w:val="none"/>
          <w:u w:val="single"/>
        </w:rPr>
        <w:t>月</w:t>
      </w:r>
      <w:r>
        <w:rPr>
          <w:rFonts w:hint="eastAsia" w:ascii="仿宋" w:hAnsi="仿宋" w:cs="仿宋"/>
          <w:color w:val="auto"/>
          <w:szCs w:val="21"/>
          <w:highlight w:val="none"/>
          <w:u w:val="single"/>
          <w:lang w:val="en-US" w:eastAsia="zh-CN"/>
        </w:rPr>
        <w:t>21</w:t>
      </w:r>
      <w:r>
        <w:rPr>
          <w:rFonts w:hint="eastAsia" w:ascii="仿宋" w:hAnsi="仿宋" w:cs="仿宋"/>
          <w:color w:val="auto"/>
          <w:szCs w:val="21"/>
          <w:highlight w:val="none"/>
          <w:u w:val="single"/>
        </w:rPr>
        <w:t>日</w:t>
      </w:r>
      <w:r>
        <w:rPr>
          <w:rFonts w:hint="eastAsia" w:ascii="仿宋" w:hAnsi="仿宋" w:cs="仿宋"/>
          <w:color w:val="auto"/>
          <w:szCs w:val="21"/>
          <w:highlight w:val="none"/>
          <w:u w:val="single"/>
          <w:lang w:val="en-US" w:eastAsia="zh-CN"/>
        </w:rPr>
        <w:t>23</w:t>
      </w:r>
      <w:r>
        <w:rPr>
          <w:rFonts w:hint="eastAsia" w:ascii="仿宋" w:hAnsi="仿宋" w:cs="仿宋"/>
          <w:color w:val="auto"/>
          <w:szCs w:val="21"/>
          <w:highlight w:val="none"/>
          <w:u w:val="single"/>
        </w:rPr>
        <w:t>：</w:t>
      </w:r>
      <w:r>
        <w:rPr>
          <w:rFonts w:hint="eastAsia" w:ascii="仿宋" w:hAnsi="仿宋" w:cs="仿宋"/>
          <w:color w:val="auto"/>
          <w:szCs w:val="21"/>
          <w:highlight w:val="none"/>
          <w:u w:val="single"/>
          <w:lang w:val="en-US" w:eastAsia="zh-CN"/>
        </w:rPr>
        <w:t>59</w:t>
      </w:r>
      <w:bookmarkStart w:id="138" w:name="_GoBack"/>
      <w:bookmarkEnd w:id="138"/>
      <w:r>
        <w:rPr>
          <w:rFonts w:hint="eastAsia" w:ascii="仿宋" w:hAnsi="仿宋" w:cs="仿宋"/>
          <w:color w:val="auto"/>
          <w:szCs w:val="21"/>
          <w:highlight w:val="none"/>
        </w:rPr>
        <w:t>至</w:t>
      </w:r>
      <w:r>
        <w:rPr>
          <w:rFonts w:hint="eastAsia" w:ascii="仿宋" w:hAnsi="仿宋" w:cs="仿宋"/>
          <w:color w:val="auto"/>
          <w:szCs w:val="21"/>
          <w:highlight w:val="none"/>
          <w:u w:val="single"/>
        </w:rPr>
        <w:t>202</w:t>
      </w:r>
      <w:r>
        <w:rPr>
          <w:rFonts w:hint="eastAsia" w:ascii="仿宋" w:hAnsi="仿宋" w:cs="仿宋"/>
          <w:color w:val="auto"/>
          <w:szCs w:val="21"/>
          <w:highlight w:val="none"/>
          <w:u w:val="single"/>
          <w:lang w:val="en-US" w:eastAsia="zh-CN"/>
        </w:rPr>
        <w:t>5</w:t>
      </w:r>
      <w:r>
        <w:rPr>
          <w:rFonts w:hint="eastAsia" w:ascii="仿宋" w:hAnsi="仿宋" w:cs="仿宋"/>
          <w:color w:val="auto"/>
          <w:szCs w:val="21"/>
          <w:highlight w:val="none"/>
          <w:u w:val="single"/>
        </w:rPr>
        <w:t>年</w:t>
      </w:r>
      <w:r>
        <w:rPr>
          <w:rFonts w:hint="eastAsia" w:ascii="仿宋" w:hAnsi="仿宋" w:cs="仿宋"/>
          <w:color w:val="auto"/>
          <w:szCs w:val="21"/>
          <w:highlight w:val="none"/>
          <w:u w:val="single"/>
          <w:lang w:val="en-US" w:eastAsia="zh-CN"/>
        </w:rPr>
        <w:t>03</w:t>
      </w:r>
      <w:r>
        <w:rPr>
          <w:rFonts w:hint="eastAsia" w:ascii="仿宋" w:hAnsi="仿宋" w:cs="仿宋"/>
          <w:color w:val="auto"/>
          <w:szCs w:val="21"/>
          <w:highlight w:val="none"/>
          <w:u w:val="single"/>
        </w:rPr>
        <w:t>月</w:t>
      </w:r>
      <w:r>
        <w:rPr>
          <w:rFonts w:hint="eastAsia" w:ascii="仿宋" w:hAnsi="仿宋" w:cs="仿宋"/>
          <w:color w:val="auto"/>
          <w:szCs w:val="21"/>
          <w:highlight w:val="none"/>
          <w:u w:val="single"/>
          <w:lang w:val="en-US" w:eastAsia="zh-CN"/>
        </w:rPr>
        <w:t>29</w:t>
      </w:r>
      <w:r>
        <w:rPr>
          <w:rFonts w:hint="eastAsia" w:ascii="仿宋" w:hAnsi="仿宋" w:cs="仿宋"/>
          <w:color w:val="auto"/>
          <w:szCs w:val="21"/>
          <w:highlight w:val="none"/>
          <w:u w:val="single"/>
        </w:rPr>
        <w:t>日00：00</w:t>
      </w:r>
      <w:r>
        <w:rPr>
          <w:rFonts w:hint="eastAsia" w:ascii="仿宋" w:hAnsi="仿宋" w:cs="仿宋"/>
          <w:color w:val="auto"/>
          <w:szCs w:val="21"/>
          <w:highlight w:val="none"/>
        </w:rPr>
        <w:t>（北京时间，法定节假日除外）</w:t>
      </w:r>
    </w:p>
    <w:p>
      <w:pPr>
        <w:adjustRightInd w:val="0"/>
        <w:snapToGrid w:val="0"/>
        <w:spacing w:line="360" w:lineRule="auto"/>
        <w:ind w:firstLine="540"/>
        <w:rPr>
          <w:rFonts w:hint="eastAsia" w:ascii="仿宋" w:hAnsi="仿宋" w:cs="仿宋"/>
          <w:color w:val="auto"/>
          <w:szCs w:val="21"/>
          <w:highlight w:val="none"/>
          <w:u w:val="single"/>
        </w:rPr>
      </w:pPr>
      <w:r>
        <w:rPr>
          <w:rFonts w:hint="eastAsia" w:ascii="仿宋" w:hAnsi="仿宋" w:cs="仿宋"/>
          <w:color w:val="auto"/>
          <w:szCs w:val="21"/>
          <w:highlight w:val="none"/>
        </w:rPr>
        <w:t>地点：辽宁政府采购网</w:t>
      </w:r>
    </w:p>
    <w:p>
      <w:pPr>
        <w:adjustRightInd w:val="0"/>
        <w:snapToGrid w:val="0"/>
        <w:spacing w:line="360" w:lineRule="auto"/>
        <w:ind w:firstLine="540"/>
        <w:rPr>
          <w:rFonts w:hint="eastAsia" w:ascii="仿宋" w:hAnsi="仿宋" w:cs="仿宋"/>
          <w:color w:val="auto"/>
          <w:szCs w:val="21"/>
          <w:highlight w:val="none"/>
          <w:u w:val="single"/>
        </w:rPr>
      </w:pPr>
      <w:r>
        <w:rPr>
          <w:rFonts w:hint="eastAsia" w:ascii="仿宋" w:hAnsi="仿宋" w:cs="仿宋"/>
          <w:color w:val="auto"/>
          <w:szCs w:val="21"/>
          <w:highlight w:val="none"/>
        </w:rPr>
        <w:t>方式：线上</w:t>
      </w:r>
    </w:p>
    <w:p>
      <w:pPr>
        <w:adjustRightInd w:val="0"/>
        <w:snapToGrid w:val="0"/>
        <w:spacing w:line="360" w:lineRule="auto"/>
        <w:ind w:firstLine="540"/>
        <w:rPr>
          <w:rFonts w:hint="eastAsia" w:ascii="仿宋" w:hAnsi="仿宋" w:cs="仿宋"/>
          <w:color w:val="auto"/>
          <w:szCs w:val="21"/>
          <w:highlight w:val="none"/>
        </w:rPr>
      </w:pPr>
      <w:r>
        <w:rPr>
          <w:rFonts w:hint="eastAsia" w:ascii="仿宋" w:hAnsi="仿宋" w:cs="仿宋"/>
          <w:color w:val="auto"/>
          <w:szCs w:val="21"/>
          <w:highlight w:val="none"/>
        </w:rPr>
        <w:t>售价：免费</w:t>
      </w:r>
    </w:p>
    <w:p>
      <w:pPr>
        <w:adjustRightInd w:val="0"/>
        <w:snapToGrid w:val="0"/>
        <w:spacing w:line="360" w:lineRule="auto"/>
        <w:rPr>
          <w:rFonts w:hint="eastAsia" w:ascii="仿宋" w:hAnsi="仿宋" w:cs="仿宋"/>
          <w:b/>
          <w:bCs/>
          <w:color w:val="auto"/>
          <w:szCs w:val="21"/>
          <w:highlight w:val="none"/>
        </w:rPr>
      </w:pPr>
      <w:bookmarkStart w:id="15" w:name="_Toc28359082"/>
      <w:bookmarkStart w:id="16" w:name="_Toc28359005"/>
      <w:bookmarkStart w:id="17" w:name="_Toc35393624"/>
      <w:bookmarkStart w:id="18" w:name="_Toc35393793"/>
      <w:r>
        <w:rPr>
          <w:rFonts w:hint="eastAsia" w:ascii="仿宋" w:hAnsi="仿宋" w:cs="仿宋"/>
          <w:b/>
          <w:bCs/>
          <w:color w:val="auto"/>
          <w:szCs w:val="21"/>
          <w:highlight w:val="none"/>
        </w:rPr>
        <w:t>五、提交投标文件</w:t>
      </w:r>
      <w:bookmarkEnd w:id="15"/>
      <w:bookmarkEnd w:id="16"/>
      <w:r>
        <w:rPr>
          <w:rFonts w:hint="eastAsia" w:ascii="仿宋" w:hAnsi="仿宋" w:cs="仿宋"/>
          <w:b/>
          <w:bCs/>
          <w:color w:val="auto"/>
          <w:szCs w:val="21"/>
          <w:highlight w:val="none"/>
        </w:rPr>
        <w:t>截止时间、开标时间和地点</w:t>
      </w:r>
      <w:bookmarkEnd w:id="17"/>
      <w:bookmarkEnd w:id="18"/>
    </w:p>
    <w:p>
      <w:pPr>
        <w:adjustRightInd w:val="0"/>
        <w:snapToGrid w:val="0"/>
        <w:spacing w:line="360" w:lineRule="auto"/>
        <w:ind w:firstLine="420" w:firstLineChars="200"/>
        <w:rPr>
          <w:rFonts w:hint="eastAsia" w:ascii="仿宋" w:hAnsi="仿宋" w:cs="仿宋"/>
          <w:bCs/>
          <w:color w:val="auto"/>
          <w:szCs w:val="21"/>
          <w:highlight w:val="none"/>
        </w:rPr>
      </w:pPr>
      <w:r>
        <w:rPr>
          <w:rFonts w:hint="eastAsia" w:ascii="仿宋" w:hAnsi="仿宋" w:cs="仿宋"/>
          <w:bCs/>
          <w:color w:val="auto"/>
          <w:szCs w:val="21"/>
          <w:highlight w:val="none"/>
        </w:rPr>
        <w:t>时间：</w:t>
      </w:r>
      <w:r>
        <w:rPr>
          <w:rFonts w:hint="eastAsia" w:ascii="仿宋" w:hAnsi="仿宋" w:cs="仿宋"/>
          <w:color w:val="auto"/>
          <w:szCs w:val="21"/>
          <w:highlight w:val="none"/>
          <w:u w:val="single"/>
        </w:rPr>
        <w:t>2025</w:t>
      </w:r>
      <w:r>
        <w:rPr>
          <w:rFonts w:hint="eastAsia" w:ascii="仿宋" w:hAnsi="仿宋" w:cs="仿宋"/>
          <w:bCs/>
          <w:color w:val="auto"/>
          <w:szCs w:val="21"/>
          <w:highlight w:val="none"/>
          <w:u w:val="single"/>
        </w:rPr>
        <w:t>年</w:t>
      </w:r>
      <w:r>
        <w:rPr>
          <w:rFonts w:hint="eastAsia" w:ascii="仿宋" w:hAnsi="仿宋" w:cs="仿宋"/>
          <w:bCs/>
          <w:color w:val="auto"/>
          <w:szCs w:val="21"/>
          <w:highlight w:val="none"/>
          <w:u w:val="single"/>
          <w:lang w:val="en-US" w:eastAsia="zh-CN"/>
        </w:rPr>
        <w:t>04</w:t>
      </w:r>
      <w:r>
        <w:rPr>
          <w:rFonts w:hint="eastAsia" w:ascii="仿宋" w:hAnsi="仿宋" w:cs="仿宋"/>
          <w:bCs/>
          <w:color w:val="auto"/>
          <w:szCs w:val="21"/>
          <w:highlight w:val="none"/>
          <w:u w:val="single"/>
        </w:rPr>
        <w:t>月</w:t>
      </w:r>
      <w:r>
        <w:rPr>
          <w:rFonts w:hint="eastAsia" w:ascii="仿宋" w:hAnsi="仿宋" w:cs="仿宋"/>
          <w:bCs/>
          <w:color w:val="auto"/>
          <w:szCs w:val="21"/>
          <w:highlight w:val="none"/>
          <w:u w:val="single"/>
          <w:lang w:val="en-US" w:eastAsia="zh-CN"/>
        </w:rPr>
        <w:t>11</w:t>
      </w:r>
      <w:r>
        <w:rPr>
          <w:rFonts w:hint="eastAsia" w:ascii="仿宋" w:hAnsi="仿宋" w:cs="仿宋"/>
          <w:bCs/>
          <w:color w:val="auto"/>
          <w:szCs w:val="21"/>
          <w:highlight w:val="none"/>
          <w:u w:val="single"/>
        </w:rPr>
        <w:t>日</w:t>
      </w:r>
      <w:r>
        <w:rPr>
          <w:rFonts w:hint="eastAsia" w:ascii="仿宋" w:hAnsi="仿宋" w:cs="仿宋"/>
          <w:bCs/>
          <w:color w:val="auto"/>
          <w:szCs w:val="21"/>
          <w:highlight w:val="none"/>
          <w:u w:val="single"/>
          <w:lang w:val="en-US" w:eastAsia="zh-CN"/>
        </w:rPr>
        <w:t>9</w:t>
      </w:r>
      <w:r>
        <w:rPr>
          <w:rFonts w:hint="eastAsia" w:ascii="仿宋" w:hAnsi="仿宋" w:cs="仿宋"/>
          <w:bCs/>
          <w:color w:val="auto"/>
          <w:szCs w:val="21"/>
          <w:highlight w:val="none"/>
          <w:u w:val="single"/>
        </w:rPr>
        <w:t>点30分（</w:t>
      </w:r>
      <w:r>
        <w:rPr>
          <w:rFonts w:hint="eastAsia" w:ascii="仿宋" w:hAnsi="仿宋" w:cs="仿宋"/>
          <w:bCs/>
          <w:color w:val="auto"/>
          <w:szCs w:val="21"/>
          <w:highlight w:val="none"/>
        </w:rPr>
        <w:t>北京时间）</w:t>
      </w:r>
    </w:p>
    <w:p>
      <w:pPr>
        <w:adjustRightInd w:val="0"/>
        <w:snapToGrid w:val="0"/>
        <w:spacing w:line="360" w:lineRule="auto"/>
        <w:ind w:firstLine="420" w:firstLineChars="200"/>
        <w:rPr>
          <w:rFonts w:hint="eastAsia" w:ascii="仿宋" w:hAnsi="仿宋" w:cs="仿宋"/>
          <w:bCs/>
          <w:color w:val="auto"/>
          <w:szCs w:val="21"/>
          <w:highlight w:val="none"/>
          <w:u w:val="single"/>
        </w:rPr>
      </w:pPr>
      <w:r>
        <w:rPr>
          <w:rFonts w:hint="eastAsia" w:ascii="仿宋" w:hAnsi="仿宋" w:cs="仿宋"/>
          <w:color w:val="auto"/>
          <w:szCs w:val="21"/>
          <w:highlight w:val="none"/>
        </w:rPr>
        <w:t>地点：辽宁浩亿招投标有限公司会议室（沈阳市皇姑区同江街11-1号3门）</w:t>
      </w:r>
    </w:p>
    <w:p>
      <w:pPr>
        <w:adjustRightInd w:val="0"/>
        <w:snapToGrid w:val="0"/>
        <w:spacing w:line="360" w:lineRule="auto"/>
        <w:rPr>
          <w:rFonts w:hint="eastAsia" w:ascii="仿宋" w:hAnsi="仿宋" w:cs="仿宋"/>
          <w:b/>
          <w:bCs/>
          <w:color w:val="auto"/>
          <w:szCs w:val="21"/>
          <w:highlight w:val="none"/>
        </w:rPr>
      </w:pPr>
      <w:bookmarkStart w:id="19" w:name="_Toc35393625"/>
      <w:bookmarkStart w:id="20" w:name="_Toc35393794"/>
      <w:bookmarkStart w:id="21" w:name="_Toc28359084"/>
      <w:bookmarkStart w:id="22" w:name="_Toc28359007"/>
      <w:r>
        <w:rPr>
          <w:rFonts w:hint="eastAsia" w:ascii="仿宋" w:hAnsi="仿宋" w:cs="仿宋"/>
          <w:b/>
          <w:bCs/>
          <w:color w:val="auto"/>
          <w:szCs w:val="21"/>
          <w:highlight w:val="none"/>
        </w:rPr>
        <w:t>六、公告期限</w:t>
      </w:r>
      <w:bookmarkEnd w:id="19"/>
      <w:bookmarkEnd w:id="20"/>
      <w:bookmarkEnd w:id="21"/>
      <w:bookmarkEnd w:id="22"/>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自本公告发布之日起5个工作日。</w:t>
      </w:r>
    </w:p>
    <w:p>
      <w:pPr>
        <w:keepNext/>
        <w:keepLines/>
        <w:adjustRightInd w:val="0"/>
        <w:snapToGrid w:val="0"/>
        <w:spacing w:line="360" w:lineRule="auto"/>
        <w:rPr>
          <w:rFonts w:hint="eastAsia" w:ascii="仿宋" w:hAnsi="仿宋" w:cs="仿宋"/>
          <w:b/>
          <w:color w:val="auto"/>
          <w:szCs w:val="21"/>
          <w:highlight w:val="none"/>
        </w:rPr>
      </w:pPr>
      <w:r>
        <w:rPr>
          <w:rFonts w:hint="eastAsia" w:ascii="仿宋" w:hAnsi="仿宋" w:cs="仿宋"/>
          <w:b/>
          <w:color w:val="auto"/>
          <w:szCs w:val="21"/>
          <w:highlight w:val="none"/>
        </w:rPr>
        <w:t>七、质疑与投诉</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cs="仿宋"/>
          <w:color w:val="auto"/>
          <w:szCs w:val="21"/>
          <w:highlight w:val="none"/>
        </w:rPr>
      </w:pPr>
      <w:r>
        <w:rPr>
          <w:rFonts w:hint="eastAsia" w:ascii="仿宋" w:hAnsi="仿宋" w:cs="仿宋"/>
          <w:color w:val="auto"/>
          <w:szCs w:val="21"/>
          <w:highlight w:val="none"/>
        </w:rPr>
        <w:t>1、接收质疑函方式：线上或书面纸质质疑函</w:t>
      </w:r>
    </w:p>
    <w:p>
      <w:pPr>
        <w:widowControl/>
        <w:adjustRightInd w:val="0"/>
        <w:snapToGrid w:val="0"/>
        <w:spacing w:line="360" w:lineRule="auto"/>
        <w:ind w:firstLine="480"/>
        <w:jc w:val="left"/>
        <w:rPr>
          <w:rFonts w:hint="eastAsia" w:ascii="仿宋" w:hAnsi="仿宋" w:cs="仿宋"/>
          <w:color w:val="auto"/>
          <w:szCs w:val="21"/>
          <w:highlight w:val="none"/>
        </w:rPr>
      </w:pPr>
      <w:r>
        <w:rPr>
          <w:rFonts w:hint="eastAsia" w:ascii="仿宋" w:hAnsi="仿宋" w:cs="仿宋"/>
          <w:color w:val="auto"/>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cs="仿宋"/>
          <w:color w:val="auto"/>
          <w:szCs w:val="21"/>
          <w:highlight w:val="none"/>
        </w:rPr>
      </w:pPr>
      <w:r>
        <w:rPr>
          <w:rFonts w:hint="eastAsia" w:ascii="仿宋" w:hAnsi="仿宋" w:cs="仿宋"/>
          <w:color w:val="auto"/>
          <w:szCs w:val="21"/>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 w:hAnsi="仿宋" w:cs="仿宋"/>
          <w:b/>
          <w:color w:val="auto"/>
          <w:szCs w:val="21"/>
          <w:highlight w:val="none"/>
        </w:rPr>
      </w:pPr>
      <w:bookmarkStart w:id="23" w:name="_Toc35393795"/>
      <w:bookmarkStart w:id="24" w:name="_Toc35393626"/>
      <w:r>
        <w:rPr>
          <w:rFonts w:hint="eastAsia" w:ascii="仿宋" w:hAnsi="仿宋" w:cs="仿宋"/>
          <w:b/>
          <w:color w:val="auto"/>
          <w:szCs w:val="21"/>
          <w:highlight w:val="none"/>
        </w:rPr>
        <w:t>八、其他补充事宜</w:t>
      </w:r>
      <w:bookmarkEnd w:id="23"/>
      <w:bookmarkEnd w:id="24"/>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lang w:val="en-US" w:eastAsia="zh-CN"/>
        </w:rPr>
        <w:t>1.</w:t>
      </w:r>
      <w:r>
        <w:rPr>
          <w:rFonts w:hint="eastAsia" w:ascii="仿宋" w:hAnsi="仿宋" w:cs="仿宋"/>
          <w:color w:val="auto"/>
          <w:szCs w:val="21"/>
          <w:highlight w:val="none"/>
        </w:rPr>
        <w:t xml:space="preserve">本项目采用全流程电子招投标，参与本项目的供应商须自行办理好CA锁，供应商除在电子评审系统上传投标（响应）文件外，应在递交投标（响应）文件截止时间前提交电子备份文件，并承诺电子备份文件与电子评审系统中上传的投标（响应）文件内容、格式一致，备系统突发故障使用。供应商仅提交备份文件，投标（响应）无效。详见辽宁政府采购网《关于完善政府采购电子评审业务流程等有关事项的通知》辽财采函{2021}363号。 </w:t>
      </w:r>
    </w:p>
    <w:p>
      <w:pPr>
        <w:widowControl/>
        <w:adjustRightInd w:val="0"/>
        <w:snapToGrid w:val="0"/>
        <w:spacing w:line="360" w:lineRule="auto"/>
        <w:ind w:firstLine="420" w:firstLineChars="200"/>
        <w:jc w:val="left"/>
        <w:rPr>
          <w:rFonts w:hint="eastAsia" w:ascii="仿宋" w:hAnsi="仿宋" w:eastAsia="仿宋" w:cs="仿宋"/>
          <w:color w:val="auto"/>
          <w:szCs w:val="21"/>
          <w:highlight w:val="none"/>
          <w:lang w:eastAsia="zh-CN"/>
        </w:rPr>
      </w:pPr>
      <w:r>
        <w:rPr>
          <w:rFonts w:hint="eastAsia" w:ascii="仿宋" w:hAnsi="仿宋" w:cs="仿宋"/>
          <w:color w:val="auto"/>
          <w:szCs w:val="21"/>
          <w:highlight w:val="none"/>
          <w:lang w:val="en-US" w:eastAsia="zh-CN"/>
        </w:rPr>
        <w:t>2.</w:t>
      </w:r>
      <w:r>
        <w:rPr>
          <w:rFonts w:hint="eastAsia" w:ascii="仿宋" w:hAnsi="仿宋" w:cs="仿宋"/>
          <w:color w:val="auto"/>
          <w:szCs w:val="21"/>
          <w:highlight w:val="none"/>
        </w:rPr>
        <w:t xml:space="preserve"> 正本电子文件提交至辽宁政府采购网，电子备份文件提交至辽宁浩亿招投标有限公司会议室（沈阳市皇姑区同江街11-1号3门）或以加密文件形式发至邮箱syhygs@163.com</w:t>
      </w:r>
      <w:r>
        <w:rPr>
          <w:rFonts w:hint="eastAsia" w:ascii="仿宋" w:hAnsi="仿宋" w:cs="仿宋"/>
          <w:color w:val="auto"/>
          <w:szCs w:val="21"/>
          <w:highlight w:val="none"/>
          <w:lang w:eastAsia="zh-CN"/>
        </w:rPr>
        <w:t>。</w:t>
      </w:r>
    </w:p>
    <w:p>
      <w:pPr>
        <w:adjustRightInd w:val="0"/>
        <w:snapToGrid w:val="0"/>
        <w:spacing w:line="360" w:lineRule="auto"/>
        <w:rPr>
          <w:rFonts w:hint="eastAsia" w:ascii="仿宋" w:hAnsi="仿宋" w:cs="仿宋"/>
          <w:b/>
          <w:color w:val="auto"/>
          <w:szCs w:val="21"/>
          <w:highlight w:val="none"/>
        </w:rPr>
      </w:pPr>
      <w:bookmarkStart w:id="25" w:name="_Toc35393627"/>
      <w:bookmarkStart w:id="26" w:name="_Toc28359085"/>
      <w:bookmarkStart w:id="27" w:name="_Toc35393796"/>
      <w:bookmarkStart w:id="28" w:name="_Toc28359008"/>
      <w:r>
        <w:rPr>
          <w:rFonts w:hint="eastAsia" w:ascii="仿宋" w:hAnsi="仿宋" w:cs="仿宋"/>
          <w:b/>
          <w:color w:val="auto"/>
          <w:szCs w:val="21"/>
          <w:highlight w:val="none"/>
        </w:rPr>
        <w:t>九、对本次招标提出询问，请按以下方式联系。</w:t>
      </w:r>
      <w:bookmarkEnd w:id="25"/>
      <w:bookmarkEnd w:id="26"/>
      <w:bookmarkEnd w:id="27"/>
      <w:bookmarkEnd w:id="28"/>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1、采购人信息 </w:t>
      </w:r>
    </w:p>
    <w:p>
      <w:pPr>
        <w:widowControl/>
        <w:adjustRightInd w:val="0"/>
        <w:snapToGrid w:val="0"/>
        <w:spacing w:line="360" w:lineRule="auto"/>
        <w:ind w:firstLine="539"/>
        <w:jc w:val="left"/>
        <w:rPr>
          <w:rFonts w:hint="eastAsia" w:ascii="仿宋" w:hAnsi="仿宋" w:cs="仿宋"/>
          <w:color w:val="auto"/>
          <w:szCs w:val="21"/>
          <w:highlight w:val="none"/>
          <w:lang w:eastAsia="zh-CN"/>
        </w:rPr>
      </w:pPr>
      <w:r>
        <w:rPr>
          <w:rFonts w:hint="eastAsia" w:ascii="仿宋" w:hAnsi="仿宋" w:cs="仿宋"/>
          <w:color w:val="auto"/>
          <w:szCs w:val="21"/>
          <w:highlight w:val="none"/>
        </w:rPr>
        <w:t>名称：</w:t>
      </w:r>
      <w:r>
        <w:rPr>
          <w:rFonts w:hint="eastAsia" w:ascii="仿宋" w:hAnsi="仿宋" w:cs="仿宋"/>
          <w:color w:val="auto"/>
          <w:szCs w:val="21"/>
          <w:highlight w:val="none"/>
          <w:lang w:eastAsia="zh-CN"/>
        </w:rPr>
        <w:t>沈阳市苏家屯区民政事务服务中心</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地址：</w:t>
      </w:r>
      <w:r>
        <w:rPr>
          <w:rFonts w:hint="eastAsia" w:ascii="仿宋" w:hAnsi="仿宋" w:cs="仿宋"/>
          <w:color w:val="auto"/>
          <w:szCs w:val="21"/>
          <w:highlight w:val="none"/>
          <w:lang w:eastAsia="zh-CN"/>
        </w:rPr>
        <w:t>沈阳市</w:t>
      </w:r>
      <w:r>
        <w:rPr>
          <w:rFonts w:hint="eastAsia" w:ascii="仿宋" w:hAnsi="仿宋" w:cs="仿宋"/>
          <w:color w:val="auto"/>
          <w:szCs w:val="21"/>
          <w:highlight w:val="none"/>
        </w:rPr>
        <w:t>苏家屯区河扬路2号</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联系方式：</w:t>
      </w:r>
      <w:r>
        <w:rPr>
          <w:rFonts w:hint="eastAsia" w:ascii="仿宋" w:hAnsi="仿宋" w:cs="仿宋"/>
          <w:color w:val="auto"/>
          <w:szCs w:val="21"/>
          <w:highlight w:val="none"/>
          <w:lang w:val="en-US" w:eastAsia="zh-CN"/>
        </w:rPr>
        <w:t>024-</w:t>
      </w:r>
      <w:r>
        <w:rPr>
          <w:rFonts w:hint="eastAsia" w:ascii="仿宋" w:hAnsi="仿宋" w:cs="仿宋"/>
          <w:color w:val="auto"/>
          <w:szCs w:val="21"/>
          <w:highlight w:val="none"/>
        </w:rPr>
        <w:t>89583362</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2.采购代理机构信息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名称： 辽宁浩亿招投标有限公司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地址： 沈阳市皇姑区同江街11-1号3门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联系方式： 024-81231520</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邮箱地址： syhygs@163.com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开户行： 盛京银行沈阳市向工支行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账户名称： 辽宁浩亿招投标有限公司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账号： 0338260102000001621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 xml:space="preserve">3.项目联系方式 </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项目联系人：</w:t>
      </w:r>
      <w:r>
        <w:rPr>
          <w:rFonts w:hint="eastAsia" w:ascii="仿宋" w:hAnsi="仿宋" w:cs="仿宋"/>
          <w:color w:val="auto"/>
          <w:szCs w:val="21"/>
          <w:highlight w:val="none"/>
          <w:lang w:eastAsia="zh-CN"/>
        </w:rPr>
        <w:t>杜丽伟、焦巍</w:t>
      </w:r>
      <w:r>
        <w:rPr>
          <w:rFonts w:hint="eastAsia" w:ascii="仿宋" w:hAnsi="仿宋" w:cs="仿宋"/>
          <w:color w:val="auto"/>
          <w:szCs w:val="21"/>
          <w:highlight w:val="none"/>
        </w:rPr>
        <w:t>、李姗姗</w:t>
      </w:r>
    </w:p>
    <w:p>
      <w:pPr>
        <w:widowControl/>
        <w:adjustRightInd w:val="0"/>
        <w:snapToGrid w:val="0"/>
        <w:spacing w:line="360" w:lineRule="auto"/>
        <w:ind w:firstLine="539"/>
        <w:jc w:val="left"/>
        <w:rPr>
          <w:rFonts w:hint="eastAsia" w:ascii="仿宋" w:hAnsi="仿宋" w:cs="仿宋"/>
          <w:color w:val="auto"/>
          <w:szCs w:val="21"/>
          <w:highlight w:val="none"/>
        </w:rPr>
      </w:pPr>
      <w:r>
        <w:rPr>
          <w:rFonts w:hint="eastAsia" w:ascii="仿宋" w:hAnsi="仿宋" w:cs="仿宋"/>
          <w:color w:val="auto"/>
          <w:szCs w:val="21"/>
          <w:highlight w:val="none"/>
        </w:rPr>
        <w:t>电话： 024-81231520</w:t>
      </w:r>
    </w:p>
    <w:p>
      <w:pPr>
        <w:rPr>
          <w:rFonts w:hint="eastAsia" w:ascii="仿宋" w:hAnsi="仿宋" w:cs="仿宋"/>
          <w:color w:val="auto"/>
          <w:highlight w:val="none"/>
        </w:rPr>
      </w:pPr>
    </w:p>
    <w:p>
      <w:pPr>
        <w:jc w:val="right"/>
        <w:rPr>
          <w:rFonts w:hint="eastAsia" w:ascii="仿宋" w:hAnsi="仿宋" w:cs="仿宋"/>
          <w:color w:val="auto"/>
          <w:highlight w:val="none"/>
        </w:rPr>
      </w:pPr>
      <w:r>
        <w:rPr>
          <w:rFonts w:hint="eastAsia" w:ascii="仿宋" w:hAnsi="仿宋" w:cs="仿宋"/>
          <w:color w:val="auto"/>
          <w:highlight w:val="none"/>
        </w:rPr>
        <w:t>202</w:t>
      </w:r>
      <w:r>
        <w:rPr>
          <w:rFonts w:hint="eastAsia" w:ascii="仿宋" w:hAnsi="仿宋" w:cs="仿宋"/>
          <w:color w:val="auto"/>
          <w:highlight w:val="none"/>
          <w:lang w:val="en-US" w:eastAsia="zh-CN"/>
        </w:rPr>
        <w:t>5</w:t>
      </w:r>
      <w:r>
        <w:rPr>
          <w:rFonts w:hint="eastAsia" w:ascii="仿宋" w:hAnsi="仿宋" w:cs="仿宋"/>
          <w:color w:val="auto"/>
          <w:highlight w:val="none"/>
        </w:rPr>
        <w:t>年</w:t>
      </w:r>
      <w:r>
        <w:rPr>
          <w:rFonts w:hint="eastAsia" w:ascii="仿宋" w:hAnsi="仿宋" w:cs="仿宋"/>
          <w:color w:val="auto"/>
          <w:highlight w:val="none"/>
          <w:lang w:val="en-US" w:eastAsia="zh-CN"/>
        </w:rPr>
        <w:t>03</w:t>
      </w:r>
      <w:r>
        <w:rPr>
          <w:rFonts w:hint="eastAsia" w:ascii="仿宋" w:hAnsi="仿宋" w:cs="仿宋"/>
          <w:color w:val="auto"/>
          <w:highlight w:val="none"/>
        </w:rPr>
        <w:t>月</w:t>
      </w:r>
      <w:r>
        <w:rPr>
          <w:rFonts w:hint="eastAsia" w:ascii="仿宋" w:hAnsi="仿宋" w:cs="仿宋"/>
          <w:color w:val="auto"/>
          <w:highlight w:val="none"/>
          <w:lang w:val="en-US" w:eastAsia="zh-CN"/>
        </w:rPr>
        <w:t>21</w:t>
      </w:r>
      <w:r>
        <w:rPr>
          <w:rFonts w:hint="eastAsia" w:ascii="仿宋" w:hAnsi="仿宋" w:cs="仿宋"/>
          <w:color w:val="auto"/>
          <w:highlight w:val="none"/>
        </w:rPr>
        <w:t>日</w:t>
      </w: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pStyle w:val="32"/>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32"/>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32"/>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pStyle w:val="3"/>
        <w:snapToGrid w:val="0"/>
        <w:spacing w:before="312" w:beforeLines="100" w:after="312" w:afterLines="100" w:line="360" w:lineRule="auto"/>
        <w:rPr>
          <w:rFonts w:hint="eastAsia" w:ascii="仿宋" w:hAnsi="仿宋" w:cs="仿宋"/>
          <w:color w:val="auto"/>
          <w:highlight w:val="none"/>
        </w:rPr>
      </w:pPr>
      <w:bookmarkStart w:id="29" w:name="_Toc9614"/>
      <w:bookmarkStart w:id="30" w:name="_Toc26518_WPSOffice_Level1"/>
      <w:r>
        <w:rPr>
          <w:rFonts w:hint="eastAsia" w:ascii="仿宋" w:hAnsi="仿宋" w:cs="仿宋"/>
          <w:color w:val="auto"/>
          <w:highlight w:val="none"/>
        </w:rPr>
        <w:t>第一章 投标人须知</w:t>
      </w:r>
      <w:bookmarkEnd w:id="29"/>
      <w:bookmarkEnd w:id="30"/>
    </w:p>
    <w:p>
      <w:pPr>
        <w:pStyle w:val="4"/>
        <w:adjustRightInd w:val="0"/>
        <w:snapToGrid w:val="0"/>
        <w:spacing w:before="0" w:after="0" w:line="360" w:lineRule="auto"/>
        <w:rPr>
          <w:rFonts w:hint="eastAsia" w:ascii="仿宋" w:hAnsi="仿宋" w:cs="仿宋"/>
          <w:color w:val="auto"/>
          <w:sz w:val="32"/>
          <w:szCs w:val="36"/>
          <w:highlight w:val="none"/>
        </w:rPr>
      </w:pPr>
      <w:bookmarkStart w:id="31" w:name="_Toc18613_WPSOffice_Level2"/>
      <w:r>
        <w:rPr>
          <w:rFonts w:hint="eastAsia" w:ascii="仿宋" w:hAnsi="仿宋" w:cs="仿宋"/>
          <w:color w:val="auto"/>
          <w:sz w:val="32"/>
          <w:szCs w:val="36"/>
          <w:highlight w:val="none"/>
        </w:rPr>
        <w:t>一 投标人须知表</w:t>
      </w:r>
      <w:bookmarkEnd w:id="31"/>
    </w:p>
    <w:tbl>
      <w:tblPr>
        <w:tblStyle w:val="25"/>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bookmarkStart w:id="32" w:name="sys_招标项目基本内容及要求其他：Block"/>
            <w:bookmarkEnd w:id="32"/>
            <w:bookmarkStart w:id="33" w:name="招标项目基本内容及要求其他：Block"/>
            <w:bookmarkEnd w:id="33"/>
            <w:bookmarkStart w:id="34" w:name="sys_招标项目基本内容及要求：Block"/>
            <w:bookmarkEnd w:id="34"/>
            <w:bookmarkStart w:id="35" w:name="招标项目基本内容及要求：Block"/>
            <w:bookmarkEnd w:id="35"/>
            <w:r>
              <w:rPr>
                <w:rFonts w:hint="eastAsia" w:ascii="仿宋" w:hAnsi="仿宋" w:cs="仿宋"/>
                <w:color w:val="auto"/>
                <w:kern w:val="0"/>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szCs w:val="21"/>
                <w:highlight w:val="none"/>
                <w:lang w:eastAsia="zh-CN"/>
              </w:rPr>
            </w:pPr>
            <w:r>
              <w:rPr>
                <w:rFonts w:hint="eastAsia" w:ascii="仿宋" w:hAnsi="仿宋" w:cs="仿宋"/>
                <w:color w:val="auto"/>
                <w:szCs w:val="21"/>
                <w:highlight w:val="none"/>
              </w:rPr>
              <w:t>名  称：</w:t>
            </w:r>
            <w:r>
              <w:rPr>
                <w:rFonts w:hint="eastAsia" w:ascii="仿宋" w:hAnsi="仿宋" w:cs="仿宋"/>
                <w:color w:val="auto"/>
                <w:szCs w:val="21"/>
                <w:highlight w:val="none"/>
                <w:lang w:eastAsia="zh-CN"/>
              </w:rPr>
              <w:t>沈阳市苏家屯区民政事务服务中心</w:t>
            </w:r>
          </w:p>
          <w:p>
            <w:pPr>
              <w:widowControl/>
              <w:jc w:val="left"/>
              <w:rPr>
                <w:rFonts w:hint="eastAsia" w:ascii="仿宋" w:hAnsi="仿宋" w:cs="仿宋"/>
                <w:color w:val="auto"/>
                <w:szCs w:val="21"/>
                <w:highlight w:val="none"/>
                <w:lang w:eastAsia="zh-CN"/>
              </w:rPr>
            </w:pPr>
            <w:r>
              <w:rPr>
                <w:rFonts w:hint="eastAsia" w:ascii="仿宋" w:hAnsi="仿宋" w:cs="仿宋"/>
                <w:color w:val="auto"/>
                <w:szCs w:val="21"/>
                <w:highlight w:val="none"/>
                <w:lang w:eastAsia="zh-CN"/>
              </w:rPr>
              <w:t>地  址：沈阳市苏家屯区河扬路2号</w:t>
            </w:r>
          </w:p>
          <w:p>
            <w:pPr>
              <w:widowControl/>
              <w:jc w:val="left"/>
              <w:rPr>
                <w:rFonts w:hint="eastAsia" w:ascii="仿宋" w:hAnsi="仿宋" w:cs="仿宋"/>
                <w:color w:val="auto"/>
                <w:szCs w:val="21"/>
                <w:highlight w:val="none"/>
                <w:lang w:eastAsia="zh-CN"/>
              </w:rPr>
            </w:pPr>
            <w:r>
              <w:rPr>
                <w:rFonts w:hint="eastAsia" w:ascii="仿宋" w:hAnsi="仿宋" w:cs="仿宋"/>
                <w:color w:val="auto"/>
                <w:szCs w:val="21"/>
                <w:highlight w:val="none"/>
                <w:lang w:eastAsia="zh-CN"/>
              </w:rPr>
              <w:t>联系人：崔老师</w:t>
            </w:r>
          </w:p>
          <w:p>
            <w:pPr>
              <w:widowControl/>
              <w:jc w:val="left"/>
              <w:rPr>
                <w:rFonts w:hint="eastAsia" w:ascii="仿宋" w:hAnsi="仿宋" w:cs="仿宋"/>
                <w:color w:val="auto"/>
                <w:szCs w:val="21"/>
                <w:highlight w:val="none"/>
              </w:rPr>
            </w:pPr>
            <w:r>
              <w:rPr>
                <w:rFonts w:hint="eastAsia" w:ascii="仿宋" w:hAnsi="仿宋" w:cs="仿宋"/>
                <w:color w:val="auto"/>
                <w:szCs w:val="21"/>
                <w:highlight w:val="none"/>
                <w:lang w:eastAsia="zh-CN"/>
              </w:rPr>
              <w:t>电  话：</w:t>
            </w:r>
            <w:r>
              <w:rPr>
                <w:rFonts w:hint="eastAsia" w:ascii="仿宋" w:hAnsi="仿宋" w:cs="仿宋"/>
                <w:color w:val="auto"/>
                <w:szCs w:val="21"/>
                <w:highlight w:val="none"/>
                <w:lang w:val="en-US" w:eastAsia="zh-CN"/>
              </w:rPr>
              <w:t>024-</w:t>
            </w:r>
            <w:r>
              <w:rPr>
                <w:rFonts w:hint="eastAsia" w:ascii="仿宋" w:hAnsi="仿宋" w:cs="仿宋"/>
                <w:color w:val="auto"/>
                <w:szCs w:val="21"/>
                <w:highlight w:val="none"/>
                <w:lang w:eastAsia="zh-CN"/>
              </w:rPr>
              <w:t>89583362</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名  称：辽宁浩亿招投标有限公司</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地  址：沈阳市皇姑区同江街11-1号3门</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联系人：</w:t>
            </w:r>
            <w:r>
              <w:rPr>
                <w:rFonts w:hint="eastAsia" w:ascii="仿宋" w:hAnsi="仿宋" w:cs="仿宋"/>
                <w:color w:val="auto"/>
                <w:kern w:val="0"/>
                <w:szCs w:val="21"/>
                <w:highlight w:val="none"/>
                <w:lang w:eastAsia="zh-CN"/>
              </w:rPr>
              <w:t>杜丽伟、焦巍</w:t>
            </w:r>
            <w:r>
              <w:rPr>
                <w:rFonts w:hint="eastAsia" w:ascii="仿宋" w:hAnsi="仿宋" w:cs="仿宋"/>
                <w:color w:val="auto"/>
                <w:kern w:val="0"/>
                <w:szCs w:val="21"/>
                <w:highlight w:val="none"/>
              </w:rPr>
              <w:t xml:space="preserve">、李姗姗 </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电  话：024-81231520</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详见采购公告</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是否为专门面向</w:t>
            </w:r>
            <w:r>
              <w:rPr>
                <w:rFonts w:hint="eastAsia" w:ascii="仿宋" w:hAnsi="仿宋" w:cs="仿宋"/>
                <w:b/>
                <w:color w:val="auto"/>
                <w:szCs w:val="21"/>
                <w:highlight w:val="none"/>
              </w:rPr>
              <w:t>中小企业</w:t>
            </w:r>
            <w:r>
              <w:rPr>
                <w:rFonts w:hint="eastAsia" w:ascii="仿宋" w:hAnsi="仿宋" w:cs="仿宋"/>
                <w:b/>
                <w:color w:val="auto"/>
                <w:kern w:val="0"/>
                <w:szCs w:val="21"/>
                <w:highlight w:val="none"/>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b/>
                <w:color w:val="auto"/>
                <w:highlight w:val="none"/>
              </w:rPr>
            </w:pPr>
            <w:r>
              <w:rPr>
                <w:rFonts w:hint="eastAsia" w:ascii="仿宋" w:hAnsi="仿宋" w:cs="仿宋"/>
                <w:b/>
                <w:color w:val="auto"/>
                <w:highlight w:val="none"/>
              </w:rPr>
              <w:t>是</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color w:val="auto"/>
                <w:szCs w:val="21"/>
                <w:highlight w:val="none"/>
              </w:rPr>
            </w:pPr>
            <w:r>
              <w:rPr>
                <w:rFonts w:hint="eastAsia" w:ascii="仿宋" w:hAnsi="仿宋" w:cs="仿宋"/>
                <w:color w:val="auto"/>
                <w:szCs w:val="21"/>
                <w:highlight w:val="none"/>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
                <w:color w:val="auto"/>
                <w:kern w:val="0"/>
                <w:szCs w:val="21"/>
                <w:highlight w:val="none"/>
              </w:rPr>
            </w:pPr>
            <w:r>
              <w:rPr>
                <w:rFonts w:hint="eastAsia" w:ascii="仿宋" w:hAnsi="仿宋" w:cs="仿宋"/>
                <w:bCs/>
                <w:color w:val="auto"/>
                <w:kern w:val="0"/>
                <w:szCs w:val="21"/>
                <w:highlight w:val="none"/>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无</w:t>
            </w:r>
          </w:p>
        </w:tc>
      </w:tr>
      <w:tr>
        <w:tblPrEx>
          <w:tblCellMar>
            <w:top w:w="0" w:type="dxa"/>
            <w:left w:w="108" w:type="dxa"/>
            <w:bottom w:w="0" w:type="dxa"/>
            <w:right w:w="108" w:type="dxa"/>
          </w:tblCellMar>
        </w:tblPrEx>
        <w:trPr>
          <w:trHeight w:val="769"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bCs/>
                <w:color w:val="auto"/>
                <w:kern w:val="0"/>
                <w:szCs w:val="21"/>
                <w:highlight w:val="none"/>
              </w:rPr>
            </w:pPr>
            <w:r>
              <w:rPr>
                <w:rFonts w:hint="eastAsia" w:ascii="仿宋" w:hAnsi="仿宋" w:cs="仿宋"/>
                <w:color w:val="auto"/>
                <w:kern w:val="0"/>
                <w:szCs w:val="21"/>
                <w:highlight w:val="none"/>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highlight w:val="none"/>
              </w:rPr>
            </w:pPr>
            <w:r>
              <w:rPr>
                <w:rFonts w:hint="eastAsia" w:ascii="仿宋" w:hAnsi="仿宋" w:cs="仿宋"/>
                <w:color w:val="auto"/>
                <w:highlight w:val="none"/>
              </w:rPr>
              <w:t>预算金额：人民币</w:t>
            </w:r>
            <w:r>
              <w:rPr>
                <w:rFonts w:hint="eastAsia" w:ascii="仿宋" w:hAnsi="仿宋" w:cs="仿宋"/>
                <w:color w:val="auto"/>
                <w:highlight w:val="none"/>
                <w:lang w:eastAsia="zh-CN"/>
              </w:rPr>
              <w:t>5,795,000.00</w:t>
            </w:r>
            <w:r>
              <w:rPr>
                <w:rFonts w:hint="eastAsia" w:ascii="仿宋" w:hAnsi="仿宋" w:cs="仿宋"/>
                <w:color w:val="auto"/>
                <w:highlight w:val="none"/>
              </w:rPr>
              <w:t>元</w:t>
            </w:r>
          </w:p>
          <w:p>
            <w:pPr>
              <w:rPr>
                <w:rFonts w:hint="eastAsia" w:ascii="仿宋" w:hAnsi="仿宋" w:cs="仿宋"/>
                <w:color w:val="auto"/>
                <w:highlight w:val="none"/>
              </w:rPr>
            </w:pPr>
            <w:r>
              <w:rPr>
                <w:rFonts w:hint="eastAsia" w:ascii="仿宋" w:hAnsi="仿宋" w:cs="仿宋"/>
                <w:color w:val="auto"/>
                <w:highlight w:val="none"/>
              </w:rPr>
              <w:t>最高限价：</w:t>
            </w:r>
            <w:r>
              <w:rPr>
                <w:rFonts w:hint="eastAsia" w:ascii="仿宋" w:hAnsi="仿宋" w:cs="仿宋"/>
                <w:color w:val="auto"/>
                <w:highlight w:val="none"/>
                <w:lang w:val="en-US" w:eastAsia="zh-CN"/>
              </w:rPr>
              <w:t>100%（本项目以第三章货物需求中给定产品单价最高限价为基准进行折扣报价，所有产品均为同一折扣报价）</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中华人民共和国法定计量单位</w:t>
            </w:r>
          </w:p>
        </w:tc>
      </w:tr>
      <w:tr>
        <w:tblPrEx>
          <w:tblCellMar>
            <w:top w:w="0" w:type="dxa"/>
            <w:left w:w="108" w:type="dxa"/>
            <w:bottom w:w="0" w:type="dxa"/>
            <w:right w:w="108" w:type="dxa"/>
          </w:tblCellMar>
        </w:tblPrEx>
        <w:trPr>
          <w:trHeight w:val="72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szCs w:val="21"/>
                <w:highlight w:val="none"/>
              </w:rPr>
            </w:pPr>
            <w:r>
              <w:rPr>
                <w:rFonts w:hint="eastAsia" w:ascii="仿宋" w:hAnsi="仿宋" w:cs="仿宋"/>
                <w:color w:val="auto"/>
                <w:kern w:val="0"/>
                <w:szCs w:val="21"/>
                <w:highlight w:val="none"/>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color w:val="auto"/>
                <w:kern w:val="0"/>
                <w:szCs w:val="21"/>
                <w:highlight w:val="none"/>
              </w:rPr>
              <w:t>不组织</w:t>
            </w:r>
          </w:p>
        </w:tc>
      </w:tr>
      <w:tr>
        <w:tblPrEx>
          <w:tblCellMar>
            <w:top w:w="0" w:type="dxa"/>
            <w:left w:w="108" w:type="dxa"/>
            <w:bottom w:w="0" w:type="dxa"/>
            <w:right w:w="108" w:type="dxa"/>
          </w:tblCellMar>
        </w:tblPrEx>
        <w:trPr>
          <w:trHeight w:val="67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10.3</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pStyle w:val="7"/>
              <w:ind w:firstLine="0" w:firstLineChars="0"/>
              <w:rPr>
                <w:rFonts w:hint="default" w:ascii="仿宋" w:hAnsi="仿宋" w:eastAsia="宋体" w:cs="仿宋"/>
                <w:color w:val="auto"/>
                <w:highlight w:val="none"/>
                <w:lang w:val="en-US" w:eastAsia="zh-CN"/>
              </w:rPr>
            </w:pPr>
            <w:r>
              <w:rPr>
                <w:rFonts w:hint="eastAsia" w:ascii="仿宋" w:hAnsi="仿宋" w:eastAsia="仿宋" w:cs="仿宋"/>
                <w:bCs/>
                <w:color w:val="auto"/>
                <w:kern w:val="0"/>
                <w:sz w:val="21"/>
                <w:szCs w:val="21"/>
                <w:highlight w:val="none"/>
                <w:lang w:val="en-US" w:eastAsia="zh-CN" w:bidi="ar-SA"/>
              </w:rPr>
              <w:t>骨灰盒2</w:t>
            </w:r>
          </w:p>
        </w:tc>
      </w:tr>
      <w:tr>
        <w:tblPrEx>
          <w:tblCellMar>
            <w:top w:w="0" w:type="dxa"/>
            <w:left w:w="108" w:type="dxa"/>
            <w:bottom w:w="0" w:type="dxa"/>
            <w:right w:w="108" w:type="dxa"/>
          </w:tblCellMar>
        </w:tblPrEx>
        <w:trPr>
          <w:trHeight w:val="90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需要提供样品</w:t>
            </w:r>
          </w:p>
          <w:p>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1、递交样品的截止时间：</w:t>
            </w:r>
            <w:r>
              <w:rPr>
                <w:rFonts w:hint="eastAsia" w:ascii="仿宋" w:hAnsi="仿宋" w:cs="仿宋"/>
                <w:color w:val="auto"/>
                <w:kern w:val="0"/>
                <w:szCs w:val="21"/>
                <w:highlight w:val="none"/>
                <w:u w:val="single"/>
                <w:lang w:eastAsia="zh-CN"/>
              </w:rPr>
              <w:t>同提交投标文件截止时间</w:t>
            </w:r>
          </w:p>
          <w:p>
            <w:pPr>
              <w:ind w:firstLine="525" w:firstLineChars="250"/>
              <w:rPr>
                <w:rFonts w:hint="eastAsia" w:ascii="仿宋" w:hAnsi="仿宋" w:eastAsia="仿宋" w:cs="仿宋"/>
                <w:color w:val="auto"/>
                <w:kern w:val="0"/>
                <w:szCs w:val="21"/>
                <w:highlight w:val="none"/>
                <w:u w:val="single"/>
                <w:lang w:eastAsia="zh-CN"/>
              </w:rPr>
            </w:pPr>
            <w:r>
              <w:rPr>
                <w:rFonts w:hint="eastAsia" w:ascii="仿宋" w:hAnsi="仿宋" w:eastAsia="仿宋" w:cs="仿宋"/>
                <w:color w:val="auto"/>
                <w:kern w:val="0"/>
                <w:szCs w:val="21"/>
                <w:highlight w:val="none"/>
              </w:rPr>
              <w:t>递交样品地点：</w:t>
            </w:r>
            <w:r>
              <w:rPr>
                <w:rFonts w:hint="eastAsia" w:ascii="仿宋" w:hAnsi="仿宋" w:cs="仿宋"/>
                <w:color w:val="auto"/>
                <w:kern w:val="0"/>
                <w:szCs w:val="21"/>
                <w:highlight w:val="none"/>
                <w:u w:val="single"/>
                <w:lang w:eastAsia="zh-CN"/>
              </w:rPr>
              <w:t>同提交投标文件地点</w:t>
            </w:r>
          </w:p>
          <w:p>
            <w:pPr>
              <w:ind w:firstLine="525" w:firstLineChars="250"/>
              <w:rPr>
                <w:rFonts w:hint="eastAsia" w:ascii="仿宋" w:hAnsi="仿宋" w:eastAsia="仿宋" w:cs="仿宋"/>
                <w:color w:val="auto"/>
                <w:kern w:val="0"/>
                <w:szCs w:val="21"/>
                <w:highlight w:val="none"/>
                <w:u w:val="single"/>
                <w:lang w:eastAsia="zh-CN"/>
              </w:rPr>
            </w:pPr>
            <w:r>
              <w:rPr>
                <w:rFonts w:hint="eastAsia" w:ascii="仿宋" w:hAnsi="仿宋" w:eastAsia="仿宋" w:cs="仿宋"/>
                <w:color w:val="auto"/>
                <w:kern w:val="0"/>
                <w:szCs w:val="21"/>
                <w:highlight w:val="none"/>
              </w:rPr>
              <w:t>递交样品联系人：</w:t>
            </w:r>
            <w:r>
              <w:rPr>
                <w:rFonts w:hint="eastAsia" w:ascii="仿宋" w:hAnsi="仿宋" w:cs="仿宋"/>
                <w:color w:val="auto"/>
                <w:kern w:val="0"/>
                <w:szCs w:val="21"/>
                <w:highlight w:val="none"/>
                <w:u w:val="single"/>
                <w:lang w:eastAsia="zh-CN"/>
              </w:rPr>
              <w:t>杜丽伟、焦巍</w:t>
            </w:r>
          </w:p>
          <w:p>
            <w:pPr>
              <w:ind w:firstLine="525" w:firstLineChars="250"/>
              <w:rPr>
                <w:rFonts w:hint="default" w:ascii="仿宋" w:hAnsi="仿宋" w:eastAsia="仿宋" w:cs="仿宋"/>
                <w:color w:val="auto"/>
                <w:kern w:val="0"/>
                <w:szCs w:val="21"/>
                <w:highlight w:val="none"/>
                <w:u w:val="single"/>
                <w:lang w:val="en-US" w:eastAsia="zh-CN"/>
              </w:rPr>
            </w:pPr>
            <w:r>
              <w:rPr>
                <w:rFonts w:hint="eastAsia" w:ascii="仿宋" w:hAnsi="仿宋" w:eastAsia="仿宋" w:cs="仿宋"/>
                <w:color w:val="auto"/>
                <w:kern w:val="0"/>
                <w:szCs w:val="21"/>
                <w:highlight w:val="none"/>
              </w:rPr>
              <w:t>递交样品联系电话：</w:t>
            </w:r>
            <w:r>
              <w:rPr>
                <w:rFonts w:hint="eastAsia" w:ascii="仿宋" w:hAnsi="仿宋" w:cs="仿宋"/>
                <w:color w:val="auto"/>
                <w:kern w:val="0"/>
                <w:szCs w:val="21"/>
                <w:highlight w:val="none"/>
                <w:u w:val="single"/>
                <w:lang w:val="en-US" w:eastAsia="zh-CN"/>
              </w:rPr>
              <w:t>024-81231520</w:t>
            </w:r>
          </w:p>
          <w:p>
            <w:pPr>
              <w:rPr>
                <w:rFonts w:hint="default" w:ascii="仿宋" w:hAnsi="仿宋" w:eastAsia="仿宋" w:cs="仿宋"/>
                <w:color w:val="auto"/>
                <w:kern w:val="0"/>
                <w:szCs w:val="21"/>
                <w:highlight w:val="none"/>
                <w:u w:val="single"/>
                <w:lang w:val="en-US" w:eastAsia="zh-CN"/>
              </w:rPr>
            </w:pPr>
            <w:r>
              <w:rPr>
                <w:rFonts w:hint="eastAsia" w:ascii="仿宋" w:hAnsi="仿宋" w:eastAsia="仿宋" w:cs="仿宋"/>
                <w:color w:val="auto"/>
                <w:kern w:val="0"/>
                <w:szCs w:val="21"/>
                <w:highlight w:val="none"/>
              </w:rPr>
              <w:t>2、样品制作的标准和要求：</w:t>
            </w:r>
            <w:r>
              <w:rPr>
                <w:rFonts w:hint="eastAsia" w:ascii="仿宋" w:hAnsi="仿宋" w:cs="仿宋"/>
                <w:color w:val="auto"/>
                <w:kern w:val="0"/>
                <w:szCs w:val="21"/>
                <w:highlight w:val="none"/>
                <w:u w:val="single"/>
                <w:lang w:eastAsia="zh-CN"/>
              </w:rPr>
              <w:t>评审现场提供尸床垫（耐火垫）、骨灰盒</w:t>
            </w:r>
            <w:r>
              <w:rPr>
                <w:rFonts w:hint="eastAsia" w:ascii="仿宋" w:hAnsi="仿宋" w:cs="仿宋"/>
                <w:color w:val="auto"/>
                <w:kern w:val="0"/>
                <w:szCs w:val="21"/>
                <w:highlight w:val="none"/>
                <w:u w:val="single"/>
                <w:lang w:val="en-US" w:eastAsia="zh-CN"/>
              </w:rPr>
              <w:t>2、纸棺1三类产品样品各一个，样品需密封提交，并在外包封上写明供应商名称</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3、随样品提交相关检测报告要求：</w:t>
            </w:r>
            <w:r>
              <w:rPr>
                <w:rFonts w:hint="eastAsia" w:ascii="仿宋" w:hAnsi="仿宋" w:cs="仿宋"/>
                <w:color w:val="auto"/>
                <w:kern w:val="0"/>
                <w:szCs w:val="21"/>
                <w:highlight w:val="none"/>
                <w:u w:val="single"/>
                <w:lang w:eastAsia="zh-CN"/>
              </w:rPr>
              <w:t>无</w:t>
            </w:r>
            <w:r>
              <w:rPr>
                <w:rFonts w:hint="eastAsia" w:ascii="仿宋" w:hAnsi="仿宋" w:eastAsia="仿宋" w:cs="仿宋"/>
                <w:color w:val="auto"/>
                <w:kern w:val="0"/>
                <w:szCs w:val="21"/>
                <w:highlight w:val="none"/>
              </w:rPr>
              <w:t xml:space="preserve"> </w:t>
            </w:r>
          </w:p>
          <w:p>
            <w:pPr>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（包含是否要求提供、检测机构要求、检测内容等）</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4、样品的封存及退回：中标人的样品将由采购人进行保管、封存，并作为履约验收的参考。未中标的投标人提供的样品，由未中标人自行领回或经未中标人同意后自行处理。</w:t>
            </w:r>
          </w:p>
          <w:p>
            <w:pPr>
              <w:rPr>
                <w:rFonts w:hint="eastAsia" w:ascii="仿宋" w:hAnsi="仿宋" w:eastAsia="仿宋" w:cs="仿宋"/>
                <w:color w:val="auto"/>
                <w:kern w:val="0"/>
                <w:highlight w:val="none"/>
              </w:rPr>
            </w:pPr>
            <w:r>
              <w:rPr>
                <w:rFonts w:hint="eastAsia" w:ascii="仿宋" w:hAnsi="仿宋" w:eastAsia="仿宋" w:cs="仿宋"/>
                <w:color w:val="auto"/>
                <w:kern w:val="0"/>
                <w:highlight w:val="none"/>
              </w:rPr>
              <w:t>不需要提供演示</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lang w:eastAsia="zh-CN"/>
              </w:rPr>
            </w:pPr>
            <w:r>
              <w:rPr>
                <w:rFonts w:hint="eastAsia" w:ascii="仿宋" w:hAnsi="仿宋" w:cs="仿宋"/>
                <w:color w:val="auto"/>
                <w:kern w:val="0"/>
                <w:szCs w:val="21"/>
                <w:highlight w:val="none"/>
              </w:rPr>
              <w:t>所有投标均按人民币货币进行报价。</w:t>
            </w:r>
            <w:r>
              <w:rPr>
                <w:rFonts w:hint="eastAsia" w:ascii="仿宋" w:hAnsi="仿宋" w:cs="仿宋"/>
                <w:color w:val="auto"/>
                <w:kern w:val="0"/>
                <w:szCs w:val="21"/>
                <w:highlight w:val="none"/>
                <w:lang w:eastAsia="zh-CN"/>
              </w:rPr>
              <w:t>本项目按折扣进行报价。</w:t>
            </w:r>
          </w:p>
        </w:tc>
      </w:tr>
      <w:tr>
        <w:tblPrEx>
          <w:tblCellMar>
            <w:top w:w="0" w:type="dxa"/>
            <w:left w:w="108" w:type="dxa"/>
            <w:bottom w:w="0" w:type="dxa"/>
            <w:right w:w="108" w:type="dxa"/>
          </w:tblCellMar>
        </w:tblPrEx>
        <w:trPr>
          <w:trHeight w:val="499"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投标保证金</w:t>
            </w:r>
          </w:p>
        </w:tc>
        <w:tc>
          <w:tcPr>
            <w:tcW w:w="5887" w:type="dxa"/>
            <w:tcBorders>
              <w:top w:val="single" w:color="auto" w:sz="4" w:space="0"/>
              <w:left w:val="nil"/>
              <w:bottom w:val="single" w:color="auto" w:sz="8" w:space="0"/>
              <w:right w:val="single" w:color="auto" w:sz="8"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不收取</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投标有效期</w:t>
            </w:r>
          </w:p>
        </w:tc>
        <w:tc>
          <w:tcPr>
            <w:tcW w:w="5887" w:type="dxa"/>
            <w:tcBorders>
              <w:top w:val="single" w:color="auto" w:sz="4" w:space="0"/>
              <w:left w:val="nil"/>
              <w:bottom w:val="single" w:color="auto" w:sz="8" w:space="0"/>
              <w:right w:val="single" w:color="auto" w:sz="8" w:space="0"/>
            </w:tcBorders>
            <w:vAlign w:val="center"/>
          </w:tcPr>
          <w:p>
            <w:pPr>
              <w:pStyle w:val="10"/>
              <w:rPr>
                <w:rFonts w:hint="eastAsia" w:ascii="仿宋" w:hAnsi="仿宋" w:cs="仿宋"/>
                <w:color w:val="auto"/>
                <w:kern w:val="0"/>
                <w:szCs w:val="21"/>
                <w:highlight w:val="none"/>
              </w:rPr>
            </w:pPr>
            <w:r>
              <w:rPr>
                <w:rFonts w:hint="eastAsia" w:ascii="仿宋" w:hAnsi="仿宋" w:cs="仿宋"/>
                <w:color w:val="auto"/>
                <w:kern w:val="0"/>
                <w:szCs w:val="21"/>
                <w:highlight w:val="none"/>
                <w:u w:val="single"/>
              </w:rPr>
              <w:t xml:space="preserve">  90  </w:t>
            </w:r>
            <w:r>
              <w:rPr>
                <w:rFonts w:hint="eastAsia" w:ascii="仿宋" w:hAnsi="仿宋" w:cs="仿宋"/>
                <w:color w:val="auto"/>
                <w:kern w:val="0"/>
                <w:szCs w:val="21"/>
                <w:highlight w:val="none"/>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szCs w:val="21"/>
                <w:highlight w:val="none"/>
              </w:rPr>
              <w:t>投标文件及电子文档份数</w:t>
            </w:r>
          </w:p>
        </w:tc>
        <w:tc>
          <w:tcPr>
            <w:tcW w:w="5887" w:type="dxa"/>
            <w:tcBorders>
              <w:top w:val="nil"/>
              <w:left w:val="nil"/>
              <w:bottom w:val="single" w:color="auto" w:sz="4" w:space="0"/>
              <w:right w:val="single" w:color="auto" w:sz="8" w:space="0"/>
            </w:tcBorders>
          </w:tcPr>
          <w:p>
            <w:pPr>
              <w:pStyle w:val="68"/>
              <w:spacing w:before="25"/>
              <w:ind w:left="106"/>
              <w:rPr>
                <w:rFonts w:hint="eastAsia" w:ascii="仿宋" w:hAnsi="仿宋" w:eastAsia="仿宋" w:cs="仿宋"/>
                <w:b/>
                <w:color w:val="auto"/>
                <w:highlight w:val="none"/>
              </w:rPr>
            </w:pPr>
            <w:r>
              <w:rPr>
                <w:rFonts w:hint="eastAsia" w:ascii="仿宋" w:hAnsi="仿宋" w:eastAsia="仿宋" w:cs="仿宋"/>
                <w:b/>
                <w:color w:val="auto"/>
                <w:highlight w:val="none"/>
              </w:rPr>
              <w:t>正本：线上电子投标文件1份（线上上传的电子投标文件须按辽宁政府采购网“办事指南”中“辽宁省政府采购网供应商制作电子标书操作手册”及“辽宁政府采购网新版系统供应商操作手册”要求进行编制，必须盖章签字）</w:t>
            </w:r>
          </w:p>
          <w:p>
            <w:pPr>
              <w:pStyle w:val="68"/>
              <w:spacing w:before="50"/>
              <w:ind w:left="106"/>
              <w:rPr>
                <w:rFonts w:hint="eastAsia" w:ascii="仿宋" w:hAnsi="仿宋" w:eastAsia="仿宋" w:cs="仿宋"/>
                <w:color w:val="auto"/>
                <w:highlight w:val="none"/>
                <w:lang w:val="zh-CN" w:bidi="zh-CN"/>
              </w:rPr>
            </w:pPr>
            <w:r>
              <w:rPr>
                <w:rFonts w:hint="eastAsia" w:ascii="仿宋" w:hAnsi="仿宋" w:eastAsia="仿宋" w:cs="仿宋"/>
                <w:b/>
                <w:color w:val="auto"/>
                <w:highlight w:val="none"/>
              </w:rPr>
              <w:t>电子备份文件：1份。供应商除在电子评审系统上传投标（响应）文件外，应在递交投标（响应）文件截止时间前提交按采购文件规定的以介质形式（如：光盘、U盘、移动硬盘、电子邮件等）存储的可加密备份文件，并承诺备份文件与电子评审系统中上传的投标（响应）文件内容、格式一致，备系统突发故障使用。供应商仅提交备份文件的，投标（响应）无效。</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递交投标文件截止时间、地点</w:t>
            </w:r>
          </w:p>
        </w:tc>
        <w:tc>
          <w:tcPr>
            <w:tcW w:w="5887" w:type="dxa"/>
            <w:tcBorders>
              <w:top w:val="nil"/>
              <w:left w:val="nil"/>
              <w:bottom w:val="single" w:color="auto" w:sz="4" w:space="0"/>
              <w:right w:val="single" w:color="auto" w:sz="8" w:space="0"/>
            </w:tcBorders>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详见采购公告，以采购公告规定时间、地点为准。</w:t>
            </w:r>
          </w:p>
          <w:p>
            <w:pPr>
              <w:pStyle w:val="68"/>
              <w:spacing w:before="25"/>
              <w:ind w:left="106"/>
              <w:rPr>
                <w:rFonts w:hint="eastAsia" w:ascii="仿宋" w:hAnsi="仿宋" w:eastAsia="仿宋" w:cs="仿宋"/>
                <w:b/>
                <w:color w:val="auto"/>
                <w:highlight w:val="none"/>
              </w:rPr>
            </w:pPr>
            <w:r>
              <w:rPr>
                <w:rFonts w:hint="eastAsia" w:ascii="仿宋" w:hAnsi="仿宋" w:eastAsia="仿宋" w:cs="仿宋"/>
                <w:b/>
                <w:color w:val="auto"/>
                <w:highlight w:val="none"/>
              </w:rPr>
              <w:t>递交投标文件截止时间前，应按要求在省政府采购平台上传电子投标文件及相关内容，有问题务必提前咨询。</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开标时间、地点</w:t>
            </w:r>
          </w:p>
        </w:tc>
        <w:tc>
          <w:tcPr>
            <w:tcW w:w="5887" w:type="dxa"/>
            <w:tcBorders>
              <w:top w:val="nil"/>
              <w:left w:val="nil"/>
              <w:bottom w:val="single" w:color="auto" w:sz="4" w:space="0"/>
              <w:right w:val="single" w:color="auto" w:sz="8"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详见招标公告，以招标公告规定时间、地点为准。</w:t>
            </w:r>
          </w:p>
          <w:p>
            <w:pPr>
              <w:pStyle w:val="9"/>
              <w:rPr>
                <w:rFonts w:hint="eastAsia" w:ascii="仿宋" w:hAnsi="仿宋" w:cs="仿宋"/>
                <w:color w:val="auto"/>
                <w:sz w:val="21"/>
                <w:szCs w:val="21"/>
                <w:highlight w:val="none"/>
              </w:rPr>
            </w:pPr>
            <w:r>
              <w:rPr>
                <w:rFonts w:hint="eastAsia" w:ascii="仿宋" w:hAnsi="仿宋" w:cs="仿宋"/>
                <w:color w:val="auto"/>
                <w:sz w:val="21"/>
                <w:szCs w:val="21"/>
                <w:highlight w:val="none"/>
              </w:rPr>
              <w:t>1.供应商须在递交投标文件截止时间前在辽宁政府采购网上成功递交电子投标文件；</w:t>
            </w:r>
          </w:p>
          <w:p>
            <w:pPr>
              <w:pStyle w:val="9"/>
              <w:rPr>
                <w:rFonts w:hint="eastAsia" w:ascii="仿宋" w:hAnsi="仿宋" w:cs="仿宋"/>
                <w:color w:val="auto"/>
                <w:sz w:val="21"/>
                <w:szCs w:val="21"/>
                <w:highlight w:val="none"/>
              </w:rPr>
            </w:pPr>
            <w:r>
              <w:rPr>
                <w:rFonts w:hint="eastAsia" w:ascii="仿宋" w:hAnsi="仿宋" w:cs="仿宋"/>
                <w:color w:val="auto"/>
                <w:sz w:val="21"/>
                <w:szCs w:val="21"/>
                <w:highlight w:val="none"/>
              </w:rPr>
              <w:t>2.开标时间后，供应商需登录“辽宁政府采购网”进行文件解密，应在30分钟内对投标文件进行网上电子解密。供应商可自行在本单位进行电子解密或供应商授权代表自行准备电子设备进行解密。采购代理机构原则上不提供任何设备进行电子解密，如供应商无法在规定的时间成功进行电子解密，视为放弃参与本项目，采购代理机构将不负有任何责任。</w:t>
            </w:r>
          </w:p>
          <w:p>
            <w:pPr>
              <w:pStyle w:val="9"/>
              <w:rPr>
                <w:rFonts w:hint="eastAsia" w:ascii="仿宋" w:hAnsi="仿宋" w:cs="仿宋"/>
                <w:color w:val="auto"/>
                <w:highlight w:val="none"/>
              </w:rPr>
            </w:pPr>
            <w:r>
              <w:rPr>
                <w:rFonts w:hint="eastAsia" w:ascii="仿宋" w:hAnsi="仿宋" w:cs="仿宋"/>
                <w:color w:val="auto"/>
                <w:sz w:val="21"/>
                <w:szCs w:val="21"/>
                <w:highlight w:val="none"/>
              </w:rPr>
              <w:t>3. 供应商上传的投标文件正常解密的且采购活动正常进行的，电子备份文件自动失效。供应商自行到代理公司领取</w:t>
            </w:r>
            <w:r>
              <w:rPr>
                <w:rFonts w:hint="eastAsia" w:ascii="仿宋" w:hAnsi="仿宋" w:cs="仿宋"/>
                <w:color w:val="auto"/>
                <w:highlight w:val="none"/>
              </w:rPr>
              <w:t>。</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评标委员会组成</w:t>
            </w:r>
          </w:p>
        </w:tc>
        <w:tc>
          <w:tcPr>
            <w:tcW w:w="5887" w:type="dxa"/>
            <w:tcBorders>
              <w:top w:val="nil"/>
              <w:left w:val="nil"/>
              <w:bottom w:val="single" w:color="auto" w:sz="4" w:space="0"/>
              <w:right w:val="single" w:color="auto" w:sz="8"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szCs w:val="21"/>
                <w:highlight w:val="none"/>
              </w:rPr>
              <w:t>评标委员会由采购人代表</w:t>
            </w:r>
            <w:r>
              <w:rPr>
                <w:rFonts w:hint="eastAsia" w:ascii="仿宋" w:hAnsi="仿宋" w:cs="仿宋"/>
                <w:color w:val="auto"/>
                <w:szCs w:val="21"/>
                <w:highlight w:val="none"/>
                <w:u w:val="single"/>
              </w:rPr>
              <w:t>1</w:t>
            </w:r>
            <w:r>
              <w:rPr>
                <w:rFonts w:hint="eastAsia" w:ascii="仿宋" w:hAnsi="仿宋" w:cs="仿宋"/>
                <w:color w:val="auto"/>
                <w:szCs w:val="21"/>
                <w:highlight w:val="none"/>
              </w:rPr>
              <w:t>人，评审专家</w:t>
            </w:r>
            <w:r>
              <w:rPr>
                <w:rFonts w:hint="eastAsia" w:ascii="仿宋" w:hAnsi="仿宋" w:cs="仿宋"/>
                <w:color w:val="auto"/>
                <w:szCs w:val="21"/>
                <w:highlight w:val="none"/>
                <w:u w:val="single"/>
              </w:rPr>
              <w:t>4</w:t>
            </w:r>
            <w:r>
              <w:rPr>
                <w:rFonts w:hint="eastAsia" w:ascii="仿宋" w:hAnsi="仿宋" w:cs="仿宋"/>
                <w:color w:val="auto"/>
                <w:szCs w:val="21"/>
                <w:highlight w:val="none"/>
              </w:rPr>
              <w:t>人组成，共</w:t>
            </w:r>
            <w:r>
              <w:rPr>
                <w:rFonts w:hint="eastAsia" w:ascii="仿宋" w:hAnsi="仿宋" w:cs="仿宋"/>
                <w:color w:val="auto"/>
                <w:szCs w:val="21"/>
                <w:highlight w:val="none"/>
                <w:u w:val="single"/>
              </w:rPr>
              <w:t>5</w:t>
            </w:r>
            <w:r>
              <w:rPr>
                <w:rFonts w:hint="eastAsia" w:ascii="仿宋" w:hAnsi="仿宋" w:cs="仿宋"/>
                <w:color w:val="auto"/>
                <w:szCs w:val="21"/>
                <w:highlight w:val="none"/>
              </w:rPr>
              <w:t xml:space="preserve">人。 </w:t>
            </w:r>
          </w:p>
        </w:tc>
      </w:tr>
      <w:tr>
        <w:tblPrEx>
          <w:tblCellMar>
            <w:top w:w="0" w:type="dxa"/>
            <w:left w:w="108" w:type="dxa"/>
            <w:bottom w:w="0" w:type="dxa"/>
            <w:right w:w="108" w:type="dxa"/>
          </w:tblCellMar>
        </w:tblPrEx>
        <w:trPr>
          <w:trHeight w:val="119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szCs w:val="21"/>
                <w:highlight w:val="none"/>
              </w:rPr>
            </w:pPr>
            <w:r>
              <w:rPr>
                <w:rFonts w:hint="eastAsia" w:ascii="仿宋" w:hAnsi="仿宋" w:cs="仿宋"/>
                <w:color w:val="auto"/>
                <w:szCs w:val="21"/>
                <w:highlight w:val="none"/>
              </w:rPr>
              <w:t>样品的评审方法以及评审标准</w:t>
            </w:r>
          </w:p>
          <w:p>
            <w:pPr>
              <w:shd w:val="clear" w:color="auto" w:fill="FFFFFF"/>
              <w:jc w:val="center"/>
              <w:rPr>
                <w:rFonts w:hint="eastAsia" w:ascii="仿宋" w:hAnsi="仿宋" w:cs="仿宋"/>
                <w:color w:val="auto"/>
                <w:szCs w:val="21"/>
                <w:highlight w:val="none"/>
              </w:rPr>
            </w:pPr>
            <w:r>
              <w:rPr>
                <w:rFonts w:hint="eastAsia" w:ascii="仿宋" w:hAnsi="仿宋" w:cs="仿宋"/>
                <w:color w:val="auto"/>
                <w:szCs w:val="21"/>
                <w:highlight w:val="none"/>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szCs w:val="21"/>
                <w:highlight w:val="none"/>
              </w:rPr>
            </w:pPr>
            <w:r>
              <w:rPr>
                <w:rFonts w:hint="eastAsia" w:ascii="仿宋" w:hAnsi="仿宋" w:cs="仿宋"/>
                <w:color w:val="auto"/>
                <w:szCs w:val="21"/>
                <w:highlight w:val="none"/>
              </w:rPr>
              <w:t>综合评分法</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u w:val="single"/>
              </w:rPr>
              <w:t>3</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中标人数量：</w:t>
            </w:r>
            <w:r>
              <w:rPr>
                <w:rFonts w:hint="eastAsia" w:ascii="仿宋" w:hAnsi="仿宋" w:cs="仿宋"/>
                <w:color w:val="auto"/>
                <w:kern w:val="0"/>
                <w:szCs w:val="21"/>
                <w:highlight w:val="none"/>
                <w:u w:val="single"/>
              </w:rPr>
              <w:t>1</w:t>
            </w:r>
          </w:p>
          <w:p>
            <w:pPr>
              <w:widowControl/>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采购人委托评标委员会直接确定中标人</w:t>
            </w:r>
          </w:p>
        </w:tc>
      </w:tr>
      <w:tr>
        <w:tblPrEx>
          <w:tblCellMar>
            <w:top w:w="0" w:type="dxa"/>
            <w:left w:w="108" w:type="dxa"/>
            <w:bottom w:w="0" w:type="dxa"/>
            <w:right w:w="108" w:type="dxa"/>
          </w:tblCellMar>
        </w:tblPrEx>
        <w:trPr>
          <w:trHeight w:val="79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35.1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本项目不收取履约保证金</w:t>
            </w:r>
          </w:p>
        </w:tc>
      </w:tr>
      <w:tr>
        <w:tblPrEx>
          <w:tblCellMar>
            <w:top w:w="0" w:type="dxa"/>
            <w:left w:w="108" w:type="dxa"/>
            <w:bottom w:w="0" w:type="dxa"/>
            <w:right w:w="108" w:type="dxa"/>
          </w:tblCellMar>
        </w:tblPrEx>
        <w:trPr>
          <w:trHeight w:val="707"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hint="eastAsia" w:ascii="仿宋" w:hAnsi="仿宋" w:cs="仿宋"/>
                <w:color w:val="auto"/>
                <w:szCs w:val="21"/>
                <w:highlight w:val="none"/>
              </w:rPr>
            </w:pPr>
            <w:r>
              <w:rPr>
                <w:rFonts w:hint="eastAsia" w:ascii="仿宋" w:hAnsi="仿宋" w:cs="仿宋"/>
                <w:color w:val="auto"/>
                <w:szCs w:val="21"/>
                <w:highlight w:val="none"/>
              </w:rPr>
              <w:t>本项目收取</w:t>
            </w:r>
            <w:r>
              <w:rPr>
                <w:rFonts w:hint="eastAsia" w:ascii="仿宋" w:hAnsi="仿宋" w:cs="仿宋"/>
                <w:color w:val="auto"/>
                <w:kern w:val="0"/>
                <w:szCs w:val="21"/>
                <w:highlight w:val="none"/>
              </w:rPr>
              <w:t>采购代理服务费</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本项目采购代理服务费由</w:t>
            </w:r>
            <w:r>
              <w:rPr>
                <w:rFonts w:hint="eastAsia" w:ascii="仿宋" w:hAnsi="仿宋" w:cs="仿宋"/>
                <w:color w:val="auto"/>
                <w:kern w:val="0"/>
                <w:szCs w:val="21"/>
                <w:highlight w:val="none"/>
                <w:u w:val="single"/>
              </w:rPr>
              <w:t>中标人</w:t>
            </w:r>
            <w:r>
              <w:rPr>
                <w:rFonts w:hint="eastAsia" w:ascii="仿宋" w:hAnsi="仿宋" w:cs="仿宋"/>
                <w:color w:val="auto"/>
                <w:kern w:val="0"/>
                <w:szCs w:val="21"/>
                <w:highlight w:val="none"/>
              </w:rPr>
              <w:t>向采购代理机构予以支付。</w:t>
            </w:r>
          </w:p>
          <w:p>
            <w:pPr>
              <w:widowControl/>
              <w:ind w:firstLine="210" w:firstLineChars="100"/>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支付标准：参照</w:t>
            </w:r>
            <w:r>
              <w:rPr>
                <w:rFonts w:hint="eastAsia" w:ascii="仿宋" w:hAnsi="仿宋" w:cs="仿宋"/>
                <w:color w:val="auto"/>
                <w:kern w:val="0"/>
                <w:szCs w:val="21"/>
                <w:highlight w:val="none"/>
                <w:u w:val="single"/>
              </w:rPr>
              <w:t>国家计委关于印发《招标代理服务收费管理暂行办法》的通知计价格[2002]1980号之规定</w:t>
            </w:r>
            <w:r>
              <w:rPr>
                <w:rFonts w:hint="eastAsia" w:ascii="仿宋" w:hAnsi="仿宋" w:cs="仿宋"/>
                <w:color w:val="auto"/>
                <w:kern w:val="0"/>
                <w:szCs w:val="21"/>
                <w:highlight w:val="none"/>
                <w:u w:val="single"/>
                <w:lang w:eastAsia="zh-CN"/>
              </w:rPr>
              <w:t>以预算金额为基准</w:t>
            </w:r>
            <w:r>
              <w:rPr>
                <w:rFonts w:hint="eastAsia" w:ascii="仿宋" w:hAnsi="仿宋" w:cs="仿宋"/>
                <w:color w:val="auto"/>
                <w:kern w:val="0"/>
                <w:szCs w:val="21"/>
                <w:highlight w:val="none"/>
                <w:u w:val="single"/>
              </w:rPr>
              <w:t>下浮20%收取。</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支付形式：</w:t>
            </w:r>
            <w:r>
              <w:rPr>
                <w:rFonts w:hint="eastAsia" w:ascii="仿宋" w:hAnsi="仿宋" w:cs="仿宋"/>
                <w:color w:val="auto"/>
                <w:kern w:val="0"/>
                <w:szCs w:val="21"/>
                <w:highlight w:val="none"/>
                <w:u w:val="single"/>
              </w:rPr>
              <w:t>现金</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支付时间：</w:t>
            </w:r>
            <w:r>
              <w:rPr>
                <w:rFonts w:hint="eastAsia" w:ascii="仿宋" w:hAnsi="仿宋" w:cs="仿宋"/>
                <w:color w:val="auto"/>
                <w:kern w:val="0"/>
                <w:szCs w:val="21"/>
                <w:highlight w:val="none"/>
                <w:u w:val="single"/>
              </w:rPr>
              <w:t>领取中标通知书前一次性缴纳</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39.3</w:t>
            </w:r>
          </w:p>
        </w:tc>
        <w:tc>
          <w:tcPr>
            <w:tcW w:w="1917"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质疑</w:t>
            </w:r>
          </w:p>
        </w:tc>
        <w:tc>
          <w:tcPr>
            <w:tcW w:w="5887" w:type="dxa"/>
            <w:tcBorders>
              <w:top w:val="single" w:color="auto" w:sz="4" w:space="0"/>
              <w:left w:val="nil"/>
              <w:bottom w:val="single" w:color="auto" w:sz="4" w:space="0"/>
              <w:right w:val="single" w:color="auto" w:sz="8" w:space="0"/>
            </w:tcBorders>
            <w:vAlign w:val="center"/>
          </w:tcPr>
          <w:p>
            <w:pPr>
              <w:widowControl/>
              <w:rPr>
                <w:rFonts w:hint="eastAsia" w:ascii="仿宋" w:hAnsi="仿宋" w:cs="仿宋"/>
                <w:color w:val="auto"/>
                <w:szCs w:val="21"/>
                <w:highlight w:val="none"/>
              </w:rPr>
            </w:pPr>
            <w:r>
              <w:rPr>
                <w:rFonts w:hint="eastAsia" w:ascii="仿宋" w:hAnsi="仿宋" w:cs="仿宋"/>
                <w:color w:val="auto"/>
                <w:szCs w:val="21"/>
                <w:highlight w:val="none"/>
              </w:rPr>
              <w:t>一、投标人认为自己的权益受到损害的，可以在知道或者应知其权益受到损害之日起七个工作日内，向采购代理机构提出质疑。</w:t>
            </w:r>
          </w:p>
          <w:p>
            <w:pPr>
              <w:widowControl/>
              <w:rPr>
                <w:rFonts w:hint="eastAsia" w:ascii="仿宋" w:hAnsi="仿宋" w:cs="仿宋"/>
                <w:color w:val="auto"/>
                <w:szCs w:val="21"/>
                <w:highlight w:val="none"/>
              </w:rPr>
            </w:pPr>
            <w:r>
              <w:rPr>
                <w:rFonts w:hint="eastAsia" w:ascii="仿宋" w:hAnsi="仿宋" w:cs="仿宋"/>
                <w:color w:val="auto"/>
                <w:szCs w:val="21"/>
                <w:highlight w:val="none"/>
              </w:rPr>
              <w:t>1、接收质疑函的方式：接收加盖单位公章的书面质疑函</w:t>
            </w:r>
          </w:p>
          <w:p>
            <w:pPr>
              <w:widowControl/>
              <w:ind w:firstLine="420" w:firstLineChars="200"/>
              <w:rPr>
                <w:rFonts w:hint="eastAsia" w:ascii="仿宋" w:hAnsi="仿宋" w:cs="仿宋"/>
                <w:color w:val="auto"/>
                <w:kern w:val="0"/>
                <w:szCs w:val="21"/>
                <w:highlight w:val="none"/>
                <w:u w:val="single"/>
              </w:rPr>
            </w:pPr>
            <w:r>
              <w:rPr>
                <w:rFonts w:hint="eastAsia" w:ascii="仿宋" w:hAnsi="仿宋" w:cs="仿宋"/>
                <w:color w:val="auto"/>
                <w:szCs w:val="21"/>
                <w:highlight w:val="none"/>
              </w:rPr>
              <w:t>联系单位：</w:t>
            </w:r>
            <w:r>
              <w:rPr>
                <w:rFonts w:hint="eastAsia" w:ascii="仿宋" w:hAnsi="仿宋" w:cs="仿宋"/>
                <w:color w:val="auto"/>
                <w:szCs w:val="21"/>
                <w:highlight w:val="none"/>
                <w:u w:val="single"/>
              </w:rPr>
              <w:t>辽宁浩亿招投标有限公司</w:t>
            </w:r>
          </w:p>
          <w:p>
            <w:pPr>
              <w:widowControl/>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联 系 人：</w:t>
            </w:r>
            <w:r>
              <w:rPr>
                <w:rFonts w:hint="eastAsia" w:ascii="仿宋" w:hAnsi="仿宋" w:cs="仿宋"/>
                <w:color w:val="auto"/>
                <w:szCs w:val="21"/>
                <w:highlight w:val="none"/>
                <w:u w:val="single"/>
                <w:lang w:eastAsia="zh-CN"/>
              </w:rPr>
              <w:t>杜丽伟、焦巍</w:t>
            </w:r>
            <w:r>
              <w:rPr>
                <w:rFonts w:hint="eastAsia" w:ascii="仿宋" w:hAnsi="仿宋" w:cs="仿宋"/>
                <w:color w:val="auto"/>
                <w:szCs w:val="21"/>
                <w:highlight w:val="none"/>
                <w:u w:val="single"/>
              </w:rPr>
              <w:t>、李姗姗</w:t>
            </w:r>
          </w:p>
          <w:p>
            <w:pPr>
              <w:widowControl/>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联系电话：</w:t>
            </w:r>
            <w:r>
              <w:rPr>
                <w:rFonts w:hint="eastAsia" w:ascii="仿宋" w:hAnsi="仿宋" w:cs="仿宋"/>
                <w:color w:val="auto"/>
                <w:kern w:val="0"/>
                <w:szCs w:val="21"/>
                <w:highlight w:val="none"/>
                <w:u w:val="single"/>
              </w:rPr>
              <w:t>024-81231520</w:t>
            </w:r>
          </w:p>
          <w:p>
            <w:pPr>
              <w:widowControl/>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通讯地址：</w:t>
            </w:r>
            <w:r>
              <w:rPr>
                <w:rFonts w:hint="eastAsia" w:ascii="仿宋" w:hAnsi="仿宋" w:cs="仿宋"/>
                <w:color w:val="auto"/>
                <w:kern w:val="0"/>
                <w:szCs w:val="21"/>
                <w:highlight w:val="none"/>
                <w:u w:val="single"/>
              </w:rPr>
              <w:t>沈阳市皇姑区同江街11-1号3门</w:t>
            </w:r>
          </w:p>
          <w:p>
            <w:pPr>
              <w:widowControl/>
              <w:rPr>
                <w:rFonts w:hint="eastAsia" w:ascii="仿宋" w:hAnsi="仿宋" w:cs="仿宋"/>
                <w:color w:val="auto"/>
                <w:szCs w:val="21"/>
                <w:highlight w:val="none"/>
              </w:rPr>
            </w:pPr>
            <w:r>
              <w:rPr>
                <w:rFonts w:hint="eastAsia" w:ascii="仿宋" w:hAnsi="仿宋" w:cs="仿宋"/>
                <w:color w:val="auto"/>
                <w:szCs w:val="21"/>
                <w:highlight w:val="none"/>
              </w:rPr>
              <w:t>2、质疑函的内容、格式：应符合《政府采购质疑和投诉办法》相关规定和财政部门制定的《政府采购质疑函范本》格式。</w:t>
            </w:r>
          </w:p>
          <w:p>
            <w:pPr>
              <w:pStyle w:val="10"/>
              <w:rPr>
                <w:rFonts w:hint="eastAsia" w:ascii="仿宋" w:hAnsi="仿宋" w:cs="仿宋"/>
                <w:color w:val="auto"/>
                <w:kern w:val="0"/>
                <w:szCs w:val="21"/>
                <w:highlight w:val="none"/>
              </w:rPr>
            </w:pPr>
            <w:r>
              <w:rPr>
                <w:rFonts w:hint="eastAsia" w:ascii="仿宋" w:hAnsi="仿宋" w:cs="仿宋"/>
                <w:color w:val="auto"/>
                <w:szCs w:val="21"/>
                <w:highlight w:val="none"/>
              </w:rPr>
              <w:t>二、投标人应在法定质疑期内一次性针对同一采购程序环节提出质疑，否则针对再次提出质疑将不予接收。（采购程序环节分为：</w:t>
            </w:r>
            <w:r>
              <w:rPr>
                <w:rFonts w:hint="eastAsia" w:ascii="仿宋" w:hAnsi="仿宋" w:cs="仿宋"/>
                <w:color w:val="auto"/>
                <w:kern w:val="0"/>
                <w:szCs w:val="21"/>
                <w:highlight w:val="none"/>
              </w:rPr>
              <w:t>招标</w:t>
            </w:r>
            <w:r>
              <w:rPr>
                <w:rFonts w:hint="eastAsia" w:ascii="仿宋" w:hAnsi="仿宋" w:cs="仿宋"/>
                <w:color w:val="auto"/>
                <w:szCs w:val="21"/>
                <w:highlight w:val="none"/>
              </w:rPr>
              <w:t>公告、招标文件、招标过程、中标结果）</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p>
        </w:tc>
        <w:tc>
          <w:tcPr>
            <w:tcW w:w="1917"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cs="仿宋"/>
                <w:b/>
                <w:bCs/>
                <w:color w:val="auto"/>
                <w:kern w:val="0"/>
                <w:szCs w:val="21"/>
                <w:highlight w:val="none"/>
              </w:rPr>
            </w:pPr>
            <w:r>
              <w:rPr>
                <w:rFonts w:hint="eastAsia" w:ascii="仿宋" w:hAnsi="仿宋" w:cs="仿宋"/>
                <w:b/>
                <w:bCs/>
                <w:color w:val="auto"/>
                <w:kern w:val="0"/>
                <w:szCs w:val="21"/>
                <w:highlight w:val="none"/>
              </w:rPr>
              <w:t>其他</w:t>
            </w:r>
          </w:p>
        </w:tc>
        <w:tc>
          <w:tcPr>
            <w:tcW w:w="5887" w:type="dxa"/>
            <w:tcBorders>
              <w:top w:val="single" w:color="auto" w:sz="4" w:space="0"/>
              <w:left w:val="nil"/>
              <w:bottom w:val="single" w:color="auto" w:sz="4" w:space="0"/>
              <w:right w:val="single" w:color="auto" w:sz="8" w:space="0"/>
            </w:tcBorders>
            <w:vAlign w:val="center"/>
          </w:tcPr>
          <w:p>
            <w:pPr>
              <w:pStyle w:val="10"/>
              <w:rPr>
                <w:rFonts w:hint="eastAsia" w:ascii="仿宋" w:hAnsi="仿宋" w:eastAsia="仿宋" w:cs="仿宋"/>
                <w:b/>
                <w:bCs/>
                <w:color w:val="auto"/>
                <w:szCs w:val="21"/>
                <w:highlight w:val="none"/>
                <w:u w:val="single"/>
                <w:lang w:eastAsia="zh-CN"/>
              </w:rPr>
            </w:pPr>
            <w:r>
              <w:rPr>
                <w:rFonts w:hint="eastAsia" w:ascii="仿宋" w:hAnsi="仿宋" w:cs="仿宋"/>
                <w:b/>
                <w:bCs/>
                <w:color w:val="auto"/>
                <w:szCs w:val="21"/>
                <w:highlight w:val="none"/>
              </w:rPr>
              <w:t>明确采购标的对应的中小企业划分标准所属行业：本项目中小企业划分标准所属行业为：</w:t>
            </w:r>
            <w:r>
              <w:rPr>
                <w:rFonts w:hint="eastAsia" w:ascii="仿宋" w:hAnsi="仿宋" w:cs="仿宋"/>
                <w:b/>
                <w:bCs/>
                <w:color w:val="auto"/>
                <w:szCs w:val="21"/>
                <w:highlight w:val="none"/>
                <w:lang w:eastAsia="zh-CN"/>
              </w:rPr>
              <w:t>工业</w:t>
            </w:r>
          </w:p>
        </w:tc>
      </w:tr>
      <w:tr>
        <w:tblPrEx>
          <w:tblCellMar>
            <w:top w:w="0" w:type="dxa"/>
            <w:left w:w="108" w:type="dxa"/>
            <w:bottom w:w="0" w:type="dxa"/>
            <w:right w:w="108" w:type="dxa"/>
          </w:tblCellMar>
        </w:tblPrEx>
        <w:trPr>
          <w:trHeight w:val="304"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p>
        </w:tc>
        <w:tc>
          <w:tcPr>
            <w:tcW w:w="7804" w:type="dxa"/>
            <w:gridSpan w:val="2"/>
            <w:tcBorders>
              <w:top w:val="single" w:color="auto" w:sz="4" w:space="0"/>
              <w:left w:val="single" w:color="auto" w:sz="4" w:space="0"/>
              <w:bottom w:val="single" w:color="auto" w:sz="4" w:space="0"/>
              <w:right w:val="single" w:color="auto" w:sz="8" w:space="0"/>
            </w:tcBorders>
            <w:vAlign w:val="center"/>
          </w:tcPr>
          <w:p>
            <w:pPr>
              <w:widowControl/>
              <w:rPr>
                <w:rFonts w:hint="eastAsia" w:ascii="仿宋" w:hAnsi="仿宋" w:cs="仿宋"/>
                <w:color w:val="auto"/>
                <w:szCs w:val="21"/>
                <w:highlight w:val="none"/>
              </w:rPr>
            </w:pPr>
            <w:r>
              <w:rPr>
                <w:rFonts w:hint="eastAsia" w:ascii="仿宋" w:hAnsi="仿宋" w:cs="仿宋"/>
                <w:color w:val="auto"/>
                <w:szCs w:val="21"/>
                <w:highlight w:val="none"/>
              </w:rPr>
              <w:t>项目结束后，供应商可到采购代理机构开具发票。</w:t>
            </w:r>
          </w:p>
          <w:p>
            <w:pPr>
              <w:widowControl/>
              <w:rPr>
                <w:rFonts w:hint="eastAsia" w:ascii="仿宋" w:hAnsi="仿宋" w:cs="仿宋"/>
                <w:color w:val="auto"/>
                <w:szCs w:val="21"/>
                <w:highlight w:val="none"/>
              </w:rPr>
            </w:pPr>
            <w:r>
              <w:rPr>
                <w:rFonts w:hint="eastAsia" w:ascii="仿宋" w:hAnsi="仿宋" w:cs="仿宋"/>
                <w:color w:val="auto"/>
                <w:szCs w:val="21"/>
                <w:highlight w:val="none"/>
              </w:rPr>
              <w:t>采用邮件方式开具电子发票的请将以下资料发送到采购代理机构财务邮箱：</w:t>
            </w:r>
          </w:p>
          <w:p>
            <w:pPr>
              <w:widowControl/>
              <w:rPr>
                <w:rFonts w:hint="eastAsia" w:ascii="仿宋" w:hAnsi="仿宋" w:cs="仿宋"/>
                <w:color w:val="auto"/>
                <w:szCs w:val="21"/>
                <w:highlight w:val="none"/>
              </w:rPr>
            </w:pPr>
            <w:r>
              <w:rPr>
                <w:rFonts w:hint="eastAsia" w:ascii="仿宋" w:hAnsi="仿宋" w:cs="仿宋"/>
                <w:color w:val="auto"/>
                <w:szCs w:val="21"/>
                <w:highlight w:val="none"/>
              </w:rPr>
              <w:t>1.项目全称；</w:t>
            </w:r>
          </w:p>
          <w:p>
            <w:pPr>
              <w:widowControl/>
              <w:rPr>
                <w:rFonts w:hint="eastAsia" w:ascii="仿宋" w:hAnsi="仿宋" w:cs="仿宋"/>
                <w:color w:val="auto"/>
                <w:szCs w:val="21"/>
                <w:highlight w:val="none"/>
              </w:rPr>
            </w:pPr>
            <w:r>
              <w:rPr>
                <w:rFonts w:hint="eastAsia" w:ascii="仿宋" w:hAnsi="仿宋" w:cs="仿宋"/>
                <w:color w:val="auto"/>
                <w:szCs w:val="21"/>
                <w:highlight w:val="none"/>
              </w:rPr>
              <w:t>2.开票金额，采购文件费或采购代理服务费电汇凭证（如有，截图即可），中标人还需提供合同扫描件pdf版本，如有收据，需将收据原件交回财务；</w:t>
            </w:r>
          </w:p>
          <w:p>
            <w:pPr>
              <w:widowControl/>
              <w:rPr>
                <w:rFonts w:hint="eastAsia" w:ascii="仿宋" w:hAnsi="仿宋" w:cs="仿宋"/>
                <w:color w:val="auto"/>
                <w:szCs w:val="21"/>
                <w:highlight w:val="none"/>
              </w:rPr>
            </w:pPr>
            <w:r>
              <w:rPr>
                <w:rFonts w:hint="eastAsia" w:ascii="仿宋" w:hAnsi="仿宋" w:cs="仿宋"/>
                <w:color w:val="auto"/>
                <w:szCs w:val="21"/>
                <w:highlight w:val="none"/>
              </w:rPr>
              <w:t>3.明确专票或普票；</w:t>
            </w:r>
          </w:p>
          <w:p>
            <w:pPr>
              <w:widowControl/>
              <w:rPr>
                <w:rFonts w:hint="eastAsia" w:ascii="仿宋" w:hAnsi="仿宋" w:cs="仿宋"/>
                <w:color w:val="auto"/>
                <w:szCs w:val="21"/>
                <w:highlight w:val="none"/>
              </w:rPr>
            </w:pPr>
            <w:r>
              <w:rPr>
                <w:rFonts w:hint="eastAsia" w:ascii="仿宋" w:hAnsi="仿宋" w:cs="仿宋"/>
                <w:color w:val="auto"/>
                <w:szCs w:val="21"/>
                <w:highlight w:val="none"/>
              </w:rPr>
              <w:t>4.供应商完整的开票信息；</w:t>
            </w:r>
          </w:p>
          <w:p>
            <w:pPr>
              <w:widowControl/>
              <w:rPr>
                <w:rFonts w:hint="eastAsia" w:ascii="仿宋" w:hAnsi="仿宋" w:cs="仿宋"/>
                <w:color w:val="auto"/>
                <w:szCs w:val="21"/>
                <w:highlight w:val="none"/>
              </w:rPr>
            </w:pPr>
            <w:r>
              <w:rPr>
                <w:rFonts w:hint="eastAsia" w:ascii="仿宋" w:hAnsi="仿宋" w:cs="仿宋"/>
                <w:color w:val="auto"/>
                <w:szCs w:val="21"/>
                <w:highlight w:val="none"/>
              </w:rPr>
              <w:t>财务邮箱：syhygs@163.com</w:t>
            </w:r>
          </w:p>
          <w:p>
            <w:pPr>
              <w:widowControl/>
              <w:rPr>
                <w:rFonts w:hint="eastAsia" w:ascii="仿宋" w:hAnsi="仿宋" w:cs="仿宋"/>
                <w:color w:val="auto"/>
                <w:szCs w:val="21"/>
                <w:highlight w:val="none"/>
              </w:rPr>
            </w:pPr>
            <w:r>
              <w:rPr>
                <w:rFonts w:hint="eastAsia" w:ascii="仿宋" w:hAnsi="仿宋" w:cs="仿宋"/>
                <w:color w:val="auto"/>
                <w:szCs w:val="21"/>
                <w:highlight w:val="none"/>
              </w:rPr>
              <w:t xml:space="preserve">咨询电话：024-86415619 </w:t>
            </w:r>
            <w:r>
              <w:rPr>
                <w:rFonts w:hint="eastAsia" w:ascii="仿宋" w:hAnsi="仿宋" w:cs="仿宋"/>
                <w:color w:val="auto"/>
                <w:szCs w:val="21"/>
                <w:highlight w:val="none"/>
                <w:lang w:eastAsia="zh-CN"/>
              </w:rPr>
              <w:t>丛</w:t>
            </w:r>
            <w:r>
              <w:rPr>
                <w:rFonts w:hint="eastAsia" w:ascii="仿宋" w:hAnsi="仿宋" w:cs="仿宋"/>
                <w:color w:val="auto"/>
                <w:szCs w:val="21"/>
                <w:highlight w:val="none"/>
              </w:rPr>
              <w:t>女士</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p>
        </w:tc>
        <w:tc>
          <w:tcPr>
            <w:tcW w:w="7804" w:type="dxa"/>
            <w:gridSpan w:val="2"/>
            <w:tcBorders>
              <w:top w:val="single" w:color="auto" w:sz="4" w:space="0"/>
              <w:left w:val="single" w:color="auto" w:sz="4" w:space="0"/>
              <w:bottom w:val="single" w:color="auto" w:sz="4" w:space="0"/>
              <w:right w:val="single" w:color="auto" w:sz="8" w:space="0"/>
            </w:tcBorders>
            <w:vAlign w:val="center"/>
          </w:tcPr>
          <w:p>
            <w:pPr>
              <w:widowControl/>
              <w:rPr>
                <w:rFonts w:hint="eastAsia" w:ascii="仿宋" w:hAnsi="仿宋" w:cs="仿宋"/>
                <w:b/>
                <w:color w:val="auto"/>
                <w:szCs w:val="21"/>
                <w:highlight w:val="none"/>
              </w:rPr>
            </w:pPr>
            <w:r>
              <w:rPr>
                <w:rFonts w:hint="eastAsia" w:ascii="仿宋" w:hAnsi="仿宋" w:cs="仿宋"/>
                <w:b/>
                <w:color w:val="auto"/>
                <w:szCs w:val="21"/>
                <w:highlight w:val="none"/>
              </w:rPr>
              <w:t>注意事项：</w:t>
            </w:r>
          </w:p>
          <w:p>
            <w:pPr>
              <w:widowControl/>
              <w:rPr>
                <w:rFonts w:hint="eastAsia" w:ascii="仿宋" w:hAnsi="仿宋" w:cs="仿宋"/>
                <w:b/>
                <w:color w:val="auto"/>
                <w:szCs w:val="21"/>
                <w:highlight w:val="none"/>
              </w:rPr>
            </w:pPr>
            <w:r>
              <w:rPr>
                <w:rFonts w:hint="eastAsia" w:ascii="仿宋" w:hAnsi="仿宋" w:cs="仿宋"/>
                <w:b/>
                <w:color w:val="auto"/>
                <w:szCs w:val="21"/>
                <w:highlight w:val="none"/>
              </w:rPr>
              <w:t>1、供应商除在电子评审系统上传投标文件外，应在递交投标文件截止时间前提交按采购文件规定的加密密封的电子文件，并承诺备份文件与电子评审系统中上传的投标文件内容、格式一致，备系统突发故障使用。供应商仅提交备份文件的，投标无效。</w:t>
            </w:r>
          </w:p>
          <w:p>
            <w:pPr>
              <w:widowControl/>
              <w:rPr>
                <w:rFonts w:hint="eastAsia" w:ascii="仿宋" w:hAnsi="仿宋" w:cs="仿宋"/>
                <w:b/>
                <w:color w:val="auto"/>
                <w:szCs w:val="21"/>
                <w:highlight w:val="none"/>
              </w:rPr>
            </w:pPr>
            <w:r>
              <w:rPr>
                <w:rFonts w:hint="eastAsia" w:ascii="仿宋" w:hAnsi="仿宋" w:cs="仿宋"/>
                <w:b/>
                <w:color w:val="auto"/>
                <w:szCs w:val="21"/>
                <w:highlight w:val="none"/>
              </w:rPr>
              <w:t>2、供应商在电子评审活动中出现以下情形的，应按如下规定进行处理：</w:t>
            </w:r>
          </w:p>
          <w:p>
            <w:pPr>
              <w:widowControl/>
              <w:rPr>
                <w:rFonts w:hint="eastAsia" w:ascii="仿宋" w:hAnsi="仿宋" w:cs="仿宋"/>
                <w:b/>
                <w:color w:val="auto"/>
                <w:szCs w:val="21"/>
                <w:highlight w:val="none"/>
              </w:rPr>
            </w:pPr>
            <w:r>
              <w:rPr>
                <w:rFonts w:hint="eastAsia" w:ascii="仿宋" w:hAnsi="仿宋" w:cs="仿宋"/>
                <w:b/>
                <w:color w:val="auto"/>
                <w:szCs w:val="21"/>
                <w:highlight w:val="none"/>
              </w:rPr>
              <w:t xml:space="preserve">    （1）因供应商原因造成投标文件未解密的；</w:t>
            </w:r>
          </w:p>
          <w:p>
            <w:pPr>
              <w:widowControl/>
              <w:rPr>
                <w:rFonts w:hint="eastAsia" w:ascii="仿宋" w:hAnsi="仿宋" w:cs="仿宋"/>
                <w:b/>
                <w:color w:val="auto"/>
                <w:szCs w:val="21"/>
                <w:highlight w:val="none"/>
              </w:rPr>
            </w:pPr>
            <w:r>
              <w:rPr>
                <w:rFonts w:hint="eastAsia" w:ascii="仿宋" w:hAnsi="仿宋" w:cs="仿宋"/>
                <w:b/>
                <w:color w:val="auto"/>
                <w:szCs w:val="21"/>
                <w:highlight w:val="none"/>
              </w:rPr>
              <w:t xml:space="preserve">    （2）因供应商自用设备原因造成的未在规定时间内解密、上传文件或投标报价等问题影响电子评审的；</w:t>
            </w:r>
          </w:p>
          <w:p>
            <w:pPr>
              <w:widowControl/>
              <w:rPr>
                <w:rFonts w:hint="eastAsia" w:ascii="仿宋" w:hAnsi="仿宋" w:cs="仿宋"/>
                <w:b/>
                <w:color w:val="auto"/>
                <w:szCs w:val="21"/>
                <w:highlight w:val="none"/>
              </w:rPr>
            </w:pPr>
            <w:r>
              <w:rPr>
                <w:rFonts w:hint="eastAsia" w:ascii="仿宋" w:hAnsi="仿宋" w:cs="仿宋"/>
                <w:b/>
                <w:color w:val="auto"/>
                <w:szCs w:val="21"/>
                <w:highlight w:val="none"/>
              </w:rPr>
              <w:t xml:space="preserve">    （3）因供应商原因未对文件校验造成信息缺失、文件内容或格式不正确以及备份文件不符合要求等问题影响评审的。</w:t>
            </w:r>
          </w:p>
          <w:p>
            <w:pPr>
              <w:widowControl/>
              <w:rPr>
                <w:rFonts w:hint="eastAsia" w:ascii="仿宋" w:hAnsi="仿宋" w:cs="仿宋"/>
                <w:color w:val="auto"/>
                <w:szCs w:val="21"/>
                <w:highlight w:val="none"/>
              </w:rPr>
            </w:pPr>
            <w:r>
              <w:rPr>
                <w:rFonts w:hint="eastAsia" w:ascii="仿宋" w:hAnsi="仿宋" w:cs="仿宋"/>
                <w:b/>
                <w:color w:val="auto"/>
                <w:szCs w:val="21"/>
                <w:highlight w:val="none"/>
              </w:rPr>
              <w:t xml:space="preserve">    出现前款（1）（2）情形的，视为放弃投标；出现前款（3）情形的，由供应商自行承担相应责任。</w:t>
            </w:r>
          </w:p>
        </w:tc>
      </w:tr>
    </w:tbl>
    <w:p>
      <w:pPr>
        <w:pStyle w:val="4"/>
        <w:adjustRightInd w:val="0"/>
        <w:snapToGrid w:val="0"/>
        <w:spacing w:before="0" w:after="0" w:line="360" w:lineRule="auto"/>
        <w:rPr>
          <w:rFonts w:hint="eastAsia" w:ascii="仿宋" w:hAnsi="仿宋" w:cs="仿宋"/>
          <w:color w:val="auto"/>
          <w:sz w:val="32"/>
          <w:szCs w:val="36"/>
          <w:highlight w:val="none"/>
        </w:rPr>
      </w:pPr>
      <w:r>
        <w:rPr>
          <w:rFonts w:hint="eastAsia" w:ascii="仿宋" w:hAnsi="仿宋" w:cs="仿宋"/>
          <w:color w:val="auto"/>
          <w:sz w:val="21"/>
          <w:szCs w:val="21"/>
          <w:highlight w:val="none"/>
        </w:rPr>
        <w:br w:type="page"/>
      </w:r>
      <w:bookmarkStart w:id="36" w:name="_Toc30384_WPSOffice_Level2"/>
      <w:r>
        <w:rPr>
          <w:rFonts w:hint="eastAsia" w:ascii="仿宋" w:hAnsi="仿宋" w:cs="仿宋"/>
          <w:color w:val="auto"/>
          <w:sz w:val="32"/>
          <w:szCs w:val="36"/>
          <w:highlight w:val="none"/>
        </w:rPr>
        <w:t>二 总则</w:t>
      </w:r>
      <w:bookmarkEnd w:id="36"/>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1.采购人、采购代理机构及投标人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1.1采购人：是指依法进行政府采购的国家机关、事业单位、团体组织。本项目采购人见投标人须知表1.1款。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1.2采购代理机构：是指集中采购机构或从事采购代理业务的社会中介机构，本项目的采购代理机构见投标人须知表1.2款。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★1.3投标人：是指向采购人提供货物、工程或者服务的法人、非法人组织或者自然人。本项目的投标人及其投标货物须满足以下条件：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1.3.1在中华人民共和国境内注册，能够独立承担民事责任，有生产或供应能力的本国供应商。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1.3.3以采购代理机构认可的方式获得了本项目的招标文件。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1.3.4符合投标人须知表1.3.4款中规定的资格条件。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若投标人须知表1.3.5款中未写明允许采购进口产品，如投标人所投产品为进口产品，其投标将被认定为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1.3.6若投标人须知表1.3.6款中写明专门面向中小企业采购的，如投标人为非中小企业且所投产品为非中小企业产品，其投标将被认定为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★1.4如投标人须知表1.4款中允许联合体投标，对联合体规定如下：</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1.4.1两个以上供应商可以组成一个投标联合体，以一个投标人的身份投标。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1.4.2联合体各方均应符合《中华人民共和国政府采购法》第二十二条规定的条件。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1.4.3采购人根据采购项目对投标人的特殊要求，联合体中至少应当有一方符合相关规定。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1.4.4联合体各方应签订共同投标协议，明确约定联合体各方承担的工作和相应的责任。</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1.4.7以联合体形式参加政府采购活动的，联合体各方不得再单独参加或者与其他供应商另外组成联合体参加本项目投标，否则相关投标将被认定为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（1）两个以上的自然人、法人或者其他组织可以组成一个联合体，以一个投标人的身份共同参加政府采购活动。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（2）联合体中标的，联合体各方应共同与采购人签订采购合同，就采购合同约定的事项对采购人承担连带责任。</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1.4.8对联合体投标的其他资格要求见投标人须知表1.4.8款。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★1.5单位负责人为同一人或者存在直接控股、管理关系的不同供应商，其相关投标将被认定为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★1.6为本项目提供过整体设计、规范编制或者项目管理、监理、检测等服务的供应商，不得再参加本项目上述服务以外的其他采购活动，否则其投标将被认定为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★1.7投标人在投标过程中不得向采购人提供、给予任何有价值的物品，影响其正常决策行为。一经发现，其将被认定为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2.资金来源</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b/>
          <w:bCs/>
          <w:color w:val="auto"/>
          <w:szCs w:val="21"/>
          <w:highlight w:val="none"/>
        </w:rPr>
        <w:t>★</w:t>
      </w:r>
      <w:r>
        <w:rPr>
          <w:rFonts w:hint="eastAsia" w:ascii="仿宋" w:hAnsi="仿宋" w:cs="仿宋"/>
          <w:color w:val="auto"/>
          <w:szCs w:val="21"/>
          <w:highlight w:val="none"/>
        </w:rPr>
        <w:t>2.2项目预算金额和分项或分包最高限价见投标人须知表2.2款。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b/>
          <w:bCs/>
          <w:color w:val="auto"/>
          <w:szCs w:val="21"/>
          <w:highlight w:val="none"/>
        </w:rPr>
        <w:t>★</w:t>
      </w:r>
      <w:r>
        <w:rPr>
          <w:rFonts w:hint="eastAsia" w:ascii="仿宋" w:hAnsi="仿宋" w:cs="仿宋"/>
          <w:color w:val="auto"/>
          <w:szCs w:val="21"/>
          <w:highlight w:val="none"/>
        </w:rPr>
        <w:t>2.3投标人报价超过招标文件规定的预算金额或者分项、分包最高限价的，其投标将被认定为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bookmarkStart w:id="37" w:name="_Toc266951048"/>
      <w:r>
        <w:rPr>
          <w:rFonts w:hint="eastAsia" w:ascii="仿宋" w:hAnsi="仿宋" w:cs="仿宋"/>
          <w:b/>
          <w:bCs/>
          <w:color w:val="auto"/>
          <w:szCs w:val="21"/>
          <w:highlight w:val="none"/>
        </w:rPr>
        <w:t>3.语言文字</w:t>
      </w:r>
      <w:bookmarkEnd w:id="37"/>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hint="eastAsia" w:ascii="仿宋" w:hAnsi="仿宋" w:cs="仿宋"/>
          <w:b/>
          <w:bCs/>
          <w:color w:val="auto"/>
          <w:szCs w:val="21"/>
          <w:highlight w:val="none"/>
        </w:rPr>
      </w:pPr>
      <w:bookmarkStart w:id="38" w:name="_1.8_计量单位"/>
      <w:bookmarkEnd w:id="38"/>
      <w:bookmarkStart w:id="39" w:name="_Toc266951049"/>
      <w:r>
        <w:rPr>
          <w:rFonts w:hint="eastAsia" w:ascii="仿宋" w:hAnsi="仿宋" w:cs="仿宋"/>
          <w:color w:val="auto"/>
          <w:szCs w:val="21"/>
          <w:highlight w:val="none"/>
        </w:rPr>
        <w:t>★</w:t>
      </w:r>
      <w:r>
        <w:rPr>
          <w:rFonts w:hint="eastAsia" w:ascii="仿宋" w:hAnsi="仿宋" w:cs="仿宋"/>
          <w:b/>
          <w:bCs/>
          <w:color w:val="auto"/>
          <w:szCs w:val="21"/>
          <w:highlight w:val="none"/>
        </w:rPr>
        <w:t>4.计量单位</w:t>
      </w:r>
      <w:bookmarkEnd w:id="39"/>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除投标人须知表4款中有特殊要求外，投标文件中所使用的计量单位，应采用中华人民共和国法定计量单位。</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5.投标费用</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不论投标的结果如何，投标人应承担所有与投标有关的费用。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6.现场考察、开标前答疑会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 w:hAnsi="仿宋" w:cs="仿宋"/>
          <w:color w:val="auto"/>
          <w:szCs w:val="21"/>
          <w:highlight w:val="none"/>
        </w:rPr>
        <w:t>投标人须知表</w:t>
      </w:r>
      <w:r>
        <w:rPr>
          <w:rFonts w:hint="eastAsia" w:ascii="仿宋" w:hAnsi="仿宋" w:cs="仿宋"/>
          <w:color w:val="auto"/>
          <w:szCs w:val="21"/>
          <w:highlight w:val="none"/>
        </w:rPr>
        <w:fldChar w:fldCharType="end"/>
      </w:r>
      <w:r>
        <w:rPr>
          <w:rFonts w:hint="eastAsia" w:ascii="仿宋" w:hAnsi="仿宋" w:cs="仿宋"/>
          <w:color w:val="auto"/>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hint="eastAsia" w:ascii="仿宋" w:hAnsi="仿宋" w:cs="仿宋"/>
          <w:b/>
          <w:bCs/>
          <w:color w:val="auto"/>
          <w:szCs w:val="21"/>
          <w:highlight w:val="none"/>
        </w:rPr>
      </w:pPr>
      <w:bookmarkStart w:id="40" w:name="_1.10_投标预备会"/>
      <w:bookmarkEnd w:id="40"/>
      <w:r>
        <w:rPr>
          <w:rFonts w:hint="eastAsia" w:ascii="仿宋" w:hAnsi="仿宋" w:cs="仿宋"/>
          <w:color w:val="auto"/>
          <w:szCs w:val="21"/>
          <w:highlight w:val="none"/>
        </w:rPr>
        <w:t>6.2</w:t>
      </w:r>
      <w:r>
        <w:rPr>
          <w:rFonts w:hint="eastAsia" w:ascii="仿宋" w:hAnsi="仿宋" w:cs="仿宋"/>
          <w:color w:val="auto"/>
          <w:kern w:val="0"/>
          <w:szCs w:val="21"/>
          <w:highlight w:val="none"/>
        </w:rPr>
        <w:t>由于未参加现场考察或标前答疑而导致对项目实际情况不了解，影响技术文件编制、</w:t>
      </w:r>
      <w:r>
        <w:rPr>
          <w:rFonts w:hint="eastAsia" w:ascii="仿宋" w:hAnsi="仿宋" w:cs="仿宋"/>
          <w:color w:val="auto"/>
          <w:highlight w:val="none"/>
        </w:rPr>
        <w:fldChar w:fldCharType="begin"/>
      </w:r>
      <w:r>
        <w:rPr>
          <w:rFonts w:hint="eastAsia" w:ascii="仿宋" w:hAnsi="仿宋" w:cs="仿宋"/>
          <w:color w:val="auto"/>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 w:hAnsi="仿宋" w:cs="仿宋"/>
          <w:color w:val="auto"/>
          <w:highlight w:val="none"/>
        </w:rPr>
        <w:fldChar w:fldCharType="separate"/>
      </w:r>
      <w:r>
        <w:rPr>
          <w:rFonts w:hint="eastAsia" w:ascii="仿宋" w:hAnsi="仿宋" w:cs="仿宋"/>
          <w:color w:val="auto"/>
          <w:kern w:val="0"/>
          <w:szCs w:val="21"/>
          <w:highlight w:val="none"/>
        </w:rPr>
        <w:t>投标报价</w:t>
      </w:r>
      <w:r>
        <w:rPr>
          <w:rFonts w:hint="eastAsia" w:ascii="仿宋" w:hAnsi="仿宋" w:cs="仿宋"/>
          <w:color w:val="auto"/>
          <w:kern w:val="0"/>
          <w:szCs w:val="21"/>
          <w:highlight w:val="none"/>
        </w:rPr>
        <w:fldChar w:fldCharType="end"/>
      </w:r>
      <w:r>
        <w:rPr>
          <w:rFonts w:hint="eastAsia" w:ascii="仿宋" w:hAnsi="仿宋" w:cs="仿宋"/>
          <w:color w:val="auto"/>
          <w:kern w:val="0"/>
          <w:szCs w:val="21"/>
          <w:highlight w:val="none"/>
        </w:rPr>
        <w:t>准确性、综合因素响应不全面等问题的，由投标人自行承担相应后果。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6.3现场考察及参加标前答疑会所发生的费用及一切责任由投标人自行承担。</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7.适用法律</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4"/>
        <w:rPr>
          <w:rFonts w:hint="eastAsia" w:ascii="仿宋" w:hAnsi="仿宋" w:cs="仿宋"/>
          <w:color w:val="auto"/>
          <w:sz w:val="32"/>
          <w:szCs w:val="28"/>
          <w:highlight w:val="none"/>
        </w:rPr>
      </w:pPr>
      <w:bookmarkStart w:id="41" w:name="_Toc10106_WPSOffice_Level2"/>
      <w:r>
        <w:rPr>
          <w:rFonts w:hint="eastAsia" w:ascii="仿宋" w:hAnsi="仿宋" w:cs="仿宋"/>
          <w:color w:val="auto"/>
          <w:sz w:val="32"/>
          <w:szCs w:val="28"/>
          <w:highlight w:val="none"/>
        </w:rPr>
        <w:t>三 招标文件</w:t>
      </w:r>
      <w:bookmarkEnd w:id="41"/>
    </w:p>
    <w:p>
      <w:pPr>
        <w:tabs>
          <w:tab w:val="left" w:pos="312"/>
        </w:tabs>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8.招标文件构成</w:t>
      </w:r>
    </w:p>
    <w:p>
      <w:pPr>
        <w:adjustRightInd w:val="0"/>
        <w:snapToGrid w:val="0"/>
        <w:spacing w:line="360" w:lineRule="auto"/>
        <w:rPr>
          <w:rFonts w:hint="eastAsia" w:ascii="仿宋" w:hAnsi="仿宋" w:cs="仿宋"/>
          <w:color w:val="auto"/>
          <w:highlight w:val="none"/>
        </w:rPr>
      </w:pPr>
      <w:r>
        <w:rPr>
          <w:rFonts w:hint="eastAsia" w:ascii="仿宋" w:hAnsi="仿宋" w:cs="仿宋"/>
          <w:color w:val="auto"/>
          <w:szCs w:val="21"/>
          <w:highlight w:val="none"/>
        </w:rPr>
        <w:t>招标</w:t>
      </w:r>
      <w:r>
        <w:rPr>
          <w:rFonts w:hint="eastAsia" w:ascii="仿宋" w:hAnsi="仿宋" w:cs="仿宋"/>
          <w:color w:val="auto"/>
          <w:highlight w:val="none"/>
        </w:rPr>
        <w:t>文件内容如下:</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kern w:val="0"/>
          <w:szCs w:val="21"/>
          <w:highlight w:val="none"/>
        </w:rPr>
        <w:t>招标</w:t>
      </w:r>
      <w:r>
        <w:rPr>
          <w:rFonts w:hint="eastAsia" w:ascii="仿宋" w:hAnsi="仿宋" w:cs="仿宋"/>
          <w:color w:val="auto"/>
          <w:highlight w:val="none"/>
        </w:rPr>
        <w:t>公告</w:t>
      </w:r>
    </w:p>
    <w:p>
      <w:pPr>
        <w:numPr>
          <w:ilvl w:val="0"/>
          <w:numId w:val="1"/>
        </w:numPr>
        <w:adjustRightInd w:val="0"/>
        <w:snapToGrid w:val="0"/>
        <w:spacing w:line="360" w:lineRule="auto"/>
        <w:ind w:firstLine="420" w:firstLineChars="200"/>
        <w:rPr>
          <w:rFonts w:hint="eastAsia" w:ascii="仿宋" w:hAnsi="仿宋" w:cs="仿宋"/>
          <w:color w:val="auto"/>
          <w:highlight w:val="none"/>
        </w:rPr>
      </w:pPr>
      <w:bookmarkStart w:id="42" w:name="_Toc4961_WPSOffice_Level2"/>
      <w:bookmarkStart w:id="43" w:name="_Toc188_WPSOffice_Level2"/>
      <w:bookmarkStart w:id="44" w:name="_Toc24604_WPSOffice_Level2"/>
      <w:bookmarkStart w:id="45" w:name="_Toc25935_WPSOffice_Level2"/>
      <w:r>
        <w:rPr>
          <w:rFonts w:hint="eastAsia" w:ascii="仿宋" w:hAnsi="仿宋" w:cs="仿宋"/>
          <w:color w:val="auto"/>
          <w:highlight w:val="none"/>
        </w:rPr>
        <w:t>投标人须知</w:t>
      </w:r>
      <w:bookmarkEnd w:id="42"/>
      <w:bookmarkEnd w:id="43"/>
      <w:bookmarkEnd w:id="44"/>
      <w:bookmarkEnd w:id="45"/>
    </w:p>
    <w:p>
      <w:pPr>
        <w:adjustRightInd w:val="0"/>
        <w:snapToGrid w:val="0"/>
        <w:spacing w:line="360" w:lineRule="auto"/>
        <w:ind w:firstLine="420" w:firstLineChars="200"/>
        <w:rPr>
          <w:rFonts w:hint="eastAsia" w:ascii="仿宋" w:hAnsi="仿宋" w:cs="仿宋"/>
          <w:color w:val="auto"/>
          <w:highlight w:val="none"/>
        </w:rPr>
      </w:pPr>
      <w:bookmarkStart w:id="46" w:name="_Toc2443_WPSOffice_Level2"/>
      <w:bookmarkStart w:id="47" w:name="_Toc13276_WPSOffice_Level2"/>
      <w:bookmarkStart w:id="48" w:name="_Toc32235_WPSOffice_Level2"/>
      <w:bookmarkStart w:id="49" w:name="_Toc31424_WPSOffice_Level2"/>
      <w:r>
        <w:rPr>
          <w:rFonts w:hint="eastAsia" w:ascii="仿宋" w:hAnsi="仿宋" w:cs="仿宋"/>
          <w:color w:val="auto"/>
          <w:highlight w:val="none"/>
        </w:rPr>
        <w:t>第二章 投标文件内容及格式</w:t>
      </w:r>
      <w:bookmarkEnd w:id="46"/>
      <w:bookmarkEnd w:id="47"/>
      <w:bookmarkEnd w:id="48"/>
      <w:bookmarkEnd w:id="49"/>
    </w:p>
    <w:p>
      <w:pPr>
        <w:adjustRightInd w:val="0"/>
        <w:snapToGrid w:val="0"/>
        <w:spacing w:line="360" w:lineRule="auto"/>
        <w:ind w:firstLine="420" w:firstLineChars="200"/>
        <w:rPr>
          <w:rFonts w:hint="eastAsia" w:ascii="仿宋" w:hAnsi="仿宋" w:cs="仿宋"/>
          <w:color w:val="auto"/>
          <w:highlight w:val="none"/>
        </w:rPr>
      </w:pPr>
      <w:bookmarkStart w:id="50" w:name="_Toc4416_WPSOffice_Level2"/>
      <w:bookmarkStart w:id="51" w:name="_Toc16269_WPSOffice_Level2"/>
      <w:bookmarkStart w:id="52" w:name="_Toc24836_WPSOffice_Level2"/>
      <w:bookmarkStart w:id="53" w:name="_Toc7005_WPSOffice_Level2"/>
      <w:r>
        <w:rPr>
          <w:rFonts w:hint="eastAsia" w:ascii="仿宋" w:hAnsi="仿宋" w:cs="仿宋"/>
          <w:color w:val="auto"/>
          <w:highlight w:val="none"/>
        </w:rPr>
        <w:t>第三章 货物需求</w:t>
      </w:r>
      <w:bookmarkEnd w:id="50"/>
      <w:bookmarkEnd w:id="51"/>
      <w:bookmarkEnd w:id="52"/>
      <w:bookmarkEnd w:id="53"/>
    </w:p>
    <w:p>
      <w:pPr>
        <w:adjustRightInd w:val="0"/>
        <w:snapToGrid w:val="0"/>
        <w:spacing w:line="360" w:lineRule="auto"/>
        <w:ind w:firstLine="420" w:firstLineChars="200"/>
        <w:rPr>
          <w:rFonts w:hint="eastAsia" w:ascii="仿宋" w:hAnsi="仿宋" w:cs="仿宋"/>
          <w:color w:val="auto"/>
          <w:highlight w:val="none"/>
        </w:rPr>
      </w:pPr>
      <w:bookmarkStart w:id="54" w:name="_Toc16119_WPSOffice_Level2"/>
      <w:bookmarkStart w:id="55" w:name="_Toc23459_WPSOffice_Level2"/>
      <w:bookmarkStart w:id="56" w:name="_Toc16294_WPSOffice_Level2"/>
      <w:bookmarkStart w:id="57" w:name="_Toc25382_WPSOffice_Level2"/>
      <w:r>
        <w:rPr>
          <w:rFonts w:hint="eastAsia" w:ascii="仿宋" w:hAnsi="仿宋" w:cs="仿宋"/>
          <w:color w:val="auto"/>
          <w:highlight w:val="none"/>
        </w:rPr>
        <w:t>第四章 评标方法</w:t>
      </w:r>
      <w:bookmarkEnd w:id="54"/>
      <w:bookmarkEnd w:id="55"/>
      <w:bookmarkEnd w:id="56"/>
      <w:bookmarkEnd w:id="57"/>
    </w:p>
    <w:p>
      <w:pPr>
        <w:adjustRightInd w:val="0"/>
        <w:snapToGrid w:val="0"/>
        <w:spacing w:line="360" w:lineRule="auto"/>
        <w:ind w:firstLine="420" w:firstLineChars="200"/>
        <w:rPr>
          <w:rFonts w:hint="eastAsia" w:ascii="仿宋" w:hAnsi="仿宋" w:cs="仿宋"/>
          <w:color w:val="auto"/>
          <w:highlight w:val="none"/>
        </w:rPr>
      </w:pPr>
      <w:bookmarkStart w:id="58" w:name="_Toc9629_WPSOffice_Level2"/>
      <w:bookmarkStart w:id="59" w:name="_Toc16368_WPSOffice_Level2"/>
      <w:bookmarkStart w:id="60" w:name="_Toc17794_WPSOffice_Level2"/>
      <w:bookmarkStart w:id="61" w:name="_Toc28106_WPSOffice_Level2"/>
      <w:r>
        <w:rPr>
          <w:rFonts w:hint="eastAsia" w:ascii="仿宋" w:hAnsi="仿宋" w:cs="仿宋"/>
          <w:color w:val="auto"/>
          <w:highlight w:val="none"/>
        </w:rPr>
        <w:t>第五章 政府采购合同</w:t>
      </w:r>
      <w:bookmarkEnd w:id="58"/>
      <w:bookmarkEnd w:id="59"/>
      <w:bookmarkEnd w:id="60"/>
      <w:bookmarkEnd w:id="61"/>
      <w:r>
        <w:rPr>
          <w:rFonts w:hint="eastAsia" w:ascii="仿宋" w:hAnsi="仿宋" w:cs="仿宋"/>
          <w:color w:val="auto"/>
          <w:highlight w:val="none"/>
        </w:rPr>
        <w:t>条款及格式</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9.招标文件的澄清与修改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9.2澄清或者修改的内容为招标文件的组成部分，对所有招标文件的收受人具有约束力。投标人在收到上述通知后，应及时向采购代理机构回函确认。</w:t>
      </w:r>
    </w:p>
    <w:p>
      <w:pPr>
        <w:pStyle w:val="4"/>
        <w:rPr>
          <w:rFonts w:hint="eastAsia" w:ascii="仿宋" w:hAnsi="仿宋" w:cs="仿宋"/>
          <w:color w:val="auto"/>
          <w:sz w:val="32"/>
          <w:szCs w:val="32"/>
          <w:highlight w:val="none"/>
        </w:rPr>
      </w:pPr>
      <w:bookmarkStart w:id="62" w:name="_Toc7415_WPSOffice_Level2"/>
      <w:r>
        <w:rPr>
          <w:rFonts w:hint="eastAsia" w:ascii="仿宋" w:hAnsi="仿宋" w:cs="仿宋"/>
          <w:color w:val="auto"/>
          <w:sz w:val="32"/>
          <w:szCs w:val="32"/>
          <w:highlight w:val="none"/>
        </w:rPr>
        <w:t>四 投标文件的编制</w:t>
      </w:r>
      <w:bookmarkEnd w:id="62"/>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10.投标范围</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10.1项目有分包的，投标人可对招标文件其中某一个分包或几个分包进行投标。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★10.2投标人应当对所投分包在招标文件中“货物需求”所列的所有货物内容进行投标，如仅响应分包中某一部分内容，其该包投标将被认定为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pStyle w:val="10"/>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10.4无论招标文件第三章货物需求中是否要求，投标人所投货物均应符合国家强制性标准。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11.投标文件构成</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★11.2投标人应按招标文件提供的格式编写投标文件。招标文件提供标准格式的按标准格式填列，未提供标准格式的可自行拟定。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11.3 样品或演示要求详见投标人须知表11.3款。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12.投标报价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12.4投标人所报的各分项投标单价在合同履行过程中是固定不变的，不得以任何理由予以变更。任何包含价格调整要求的投标，其投标将被认定为</w:t>
      </w:r>
      <w:r>
        <w:rPr>
          <w:rFonts w:hint="eastAsia" w:ascii="仿宋" w:hAnsi="仿宋" w:cs="仿宋"/>
          <w:b/>
          <w:bCs/>
          <w:color w:val="auto"/>
          <w:szCs w:val="21"/>
          <w:highlight w:val="none"/>
        </w:rPr>
        <w:t>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12.5每种货物只能有一个投标报价。采购人不接受具有附加条件的报价。</w:t>
      </w:r>
    </w:p>
    <w:p>
      <w:pPr>
        <w:adjustRightInd w:val="0"/>
        <w:snapToGrid w:val="0"/>
        <w:spacing w:line="360" w:lineRule="auto"/>
        <w:rPr>
          <w:rFonts w:hint="eastAsia" w:ascii="仿宋" w:hAnsi="仿宋" w:cs="仿宋"/>
          <w:color w:val="auto"/>
          <w:szCs w:val="21"/>
          <w:highlight w:val="none"/>
        </w:rPr>
      </w:pPr>
      <w:bookmarkStart w:id="63" w:name="_Toc22507_WPSOffice_Level2"/>
      <w:bookmarkStart w:id="64" w:name="_Toc31973_WPSOffice_Level2"/>
      <w:r>
        <w:rPr>
          <w:rFonts w:hint="eastAsia" w:ascii="仿宋" w:hAnsi="仿宋" w:cs="仿宋"/>
          <w:color w:val="auto"/>
          <w:szCs w:val="21"/>
          <w:highlight w:val="none"/>
        </w:rPr>
        <w:t>12.6除非招标文件另有规定，报价原则上精确到小数点后两位。</w:t>
      </w:r>
      <w:bookmarkEnd w:id="63"/>
      <w:bookmarkEnd w:id="64"/>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★13.投标保证金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13.1投标人应提交投标人须知表13.1款中规定的投标保证金，并作为其投标的一部分。</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13.3投标人存在下列情形的，投标保证金不予退还：</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（1）在投标有效期内，投标人撤销投标的；</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（2）中标后不按本须知第34款的规定与采购人签订合同的；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（3）中标后不按本须知第35款的规定提交履约保证金的；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（4）中标后不按本须知第36款的规定缴纳采购代理服务费的；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（5）存在其他违法违规行为的。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13.4联合体投标的，可以由联合体中的一方或者共同提交投标保证金。以一方名义提交投标保证金的，对联合体各方均具有约束力。</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13.5投标保证金的退还</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13.5.1中标人应在与采购人签订合同之日起5个工作日内，及时联系保证金收受机构办理投标保证金退还手续。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13.5.4 政府采购投标担保函不予退回。</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13.6 因投标人自身原因导致无法及时退还的，采购人或采购代理机构将不承担相应责任。</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14.证明投标标的的合格性和符合招标文件规定的技术文件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14.1投标人应提交证明文件，证明其投标内容符合招标文件规定。该证明文件是投标文件的一部分。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14.2上款所述的证明文件，可以是文字资料、图纸和数据，它包括：</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（1）货物主要技术指标和性能的详细说明；</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15.投标有效期</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15.1投标应在投标人须知表15.1款中规定的投标有效期内保持有效。投标有效期不满足要求的投标，其投标将被认定为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16.投标文件的签署及规定</w:t>
      </w:r>
    </w:p>
    <w:p>
      <w:pPr>
        <w:adjustRightInd w:val="0"/>
        <w:snapToGrid w:val="0"/>
        <w:spacing w:line="360" w:lineRule="auto"/>
        <w:rPr>
          <w:rFonts w:hint="eastAsia" w:ascii="仿宋" w:hAnsi="仿宋" w:cs="仿宋"/>
          <w:color w:val="auto"/>
          <w:szCs w:val="21"/>
          <w:highlight w:val="none"/>
        </w:rPr>
      </w:pPr>
      <w:bookmarkStart w:id="65" w:name="_Toc27725_WPSOffice_Level2"/>
      <w:r>
        <w:rPr>
          <w:rFonts w:hint="eastAsia" w:ascii="仿宋" w:hAnsi="仿宋" w:cs="仿宋"/>
          <w:color w:val="auto"/>
          <w:szCs w:val="21"/>
          <w:highlight w:val="none"/>
        </w:rPr>
        <w:t>16.1投标人应按投标人须知表16.1款中的规定，准备和递交投标文件正本和电子备份文档。</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★16.2辽宁政府采购网网上上传电子文件。网上上传文件为正本文件。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16.3投标文件的正本辽宁政府采购网网上，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w:t>
      </w:r>
    </w:p>
    <w:p>
      <w:pPr>
        <w:pStyle w:val="4"/>
        <w:rPr>
          <w:rFonts w:hint="eastAsia" w:ascii="仿宋" w:hAnsi="仿宋" w:cs="仿宋"/>
          <w:color w:val="auto"/>
          <w:sz w:val="32"/>
          <w:szCs w:val="28"/>
          <w:highlight w:val="none"/>
        </w:rPr>
      </w:pPr>
      <w:r>
        <w:rPr>
          <w:rFonts w:hint="eastAsia" w:ascii="仿宋" w:hAnsi="仿宋" w:cs="仿宋"/>
          <w:color w:val="auto"/>
          <w:sz w:val="32"/>
          <w:szCs w:val="28"/>
          <w:highlight w:val="none"/>
        </w:rPr>
        <w:t>五 投标文件的递交</w:t>
      </w:r>
      <w:bookmarkEnd w:id="65"/>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17.电子备份文件的密封和标记</w:t>
      </w:r>
      <w:r>
        <w:rPr>
          <w:rFonts w:hint="eastAsia" w:ascii="仿宋" w:hAnsi="仿宋" w:cs="仿宋"/>
          <w:b/>
          <w:color w:val="auto"/>
          <w:szCs w:val="21"/>
          <w:highlight w:val="none"/>
        </w:rPr>
        <w:t>（采用加密文件发送至邮箱的供应商不适用）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17.1投标人应将电子备份文件密封，并进行包封。</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17.2所有包装封皮上均应：</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（1）注明项目名称、项目编号、包号、投标人名称。</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（2）加盖投标人单位公章。</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17.3如果投标人未按上述要求密封，其电子备份文件将被</w:t>
      </w:r>
      <w:r>
        <w:rPr>
          <w:rFonts w:hint="eastAsia" w:ascii="仿宋" w:hAnsi="仿宋" w:cs="仿宋"/>
          <w:b/>
          <w:bCs/>
          <w:color w:val="auto"/>
          <w:szCs w:val="21"/>
          <w:highlight w:val="none"/>
        </w:rPr>
        <w:t>拒绝接收</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18.投标截止</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18.1投标人应在投标人须知表18.1中规定的递交投标文件截止时间前，将投标文件递交到投标人须知表18.1款中规定的地点。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19.投标文件的接收、修改与撤回</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19.1在投标截止时间后送达的投标文件，采购人和采购代理机构将</w:t>
      </w:r>
      <w:r>
        <w:rPr>
          <w:rFonts w:hint="eastAsia" w:ascii="仿宋" w:hAnsi="仿宋" w:cs="仿宋"/>
          <w:b/>
          <w:bCs/>
          <w:color w:val="auto"/>
          <w:szCs w:val="21"/>
          <w:highlight w:val="none"/>
        </w:rPr>
        <w:t>拒绝接收</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19.2采购人或者采购代理机构收到投标文件后，应当如实记载投标文件的送达时间和密封情况。</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19.4在投标截止时间之后，投标人不得对其投标文件做任何修改。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19.5采购人和采购代理机构对所接收并当众宣读投标内容的投标文件概不退回。</w:t>
      </w:r>
    </w:p>
    <w:p>
      <w:pPr>
        <w:pStyle w:val="4"/>
        <w:rPr>
          <w:rFonts w:hint="eastAsia" w:ascii="仿宋" w:hAnsi="仿宋" w:cs="仿宋"/>
          <w:color w:val="auto"/>
          <w:sz w:val="32"/>
          <w:szCs w:val="28"/>
          <w:highlight w:val="none"/>
        </w:rPr>
      </w:pPr>
      <w:bookmarkStart w:id="66" w:name="_Toc988_WPSOffice_Level2"/>
      <w:r>
        <w:rPr>
          <w:rFonts w:hint="eastAsia" w:ascii="仿宋" w:hAnsi="仿宋" w:cs="仿宋"/>
          <w:color w:val="auto"/>
          <w:sz w:val="32"/>
          <w:szCs w:val="28"/>
          <w:highlight w:val="none"/>
        </w:rPr>
        <w:t>六 开标及评标</w:t>
      </w:r>
      <w:bookmarkEnd w:id="66"/>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20.开标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投标人不足3家的，不得开标。评标委员会成员不得参加开标活动。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未宣读投标价格、价格折扣等实质内容，评标时不予承认。</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21.组建评标委员会</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22.资格审查</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；通过资格审查的投标人不足3家的，不得评标。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22.2采购人或采购代理机构将在递交投标文件截止时间前一个工作日至资格审查结束前查询投标人的信用记录。投标人存在不良信用记录的，其投标将被认定为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以联合体形式参加投标的，联合体任何成员存在以上不良信用记录的，联合体投标将被认定为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在本招标文件规定的查询时间之后，网站信息发生的任何变更均不再作为评标依据。</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投标人自行提供的与网站信息不一致的其他证明材料亦不作为资格审查依据。</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23.符合性审查</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；通过符合性审查的投标人数量不足3家的，不得作进一步的比较和评价。</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24.投标文件的澄清</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24.2投标人的澄清、说明或补正将作为投标文件的一部分。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24.3投标文件报价出现前后不一致的，按照下列规定修正：</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（1）投标文件中开标一览表内容与投标文件中相应内容不一致的，以开标一览表为准；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（2）大写金额和小写金额不一致的，以大写金额为准；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（3）单价金额小数点或者百分比有明显错位的，以开标一览表的总价为准，并修改单价；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同时出现两种以上不一致的，按照前款规定的顺序修正。修正后的报价经投标人确认后产生约束力，投标人不确认的，其投标将被认定为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highlight w:val="none"/>
        </w:rPr>
      </w:pPr>
      <w:r>
        <w:rPr>
          <w:rFonts w:hint="eastAsia" w:ascii="仿宋" w:hAnsi="仿宋" w:cs="仿宋"/>
          <w:color w:val="auto"/>
          <w:szCs w:val="21"/>
          <w:highlight w:val="none"/>
        </w:rPr>
        <w:t>24.4</w:t>
      </w:r>
      <w:r>
        <w:rPr>
          <w:rFonts w:hint="eastAsia" w:ascii="仿宋" w:hAnsi="仿宋" w:cs="仿宋"/>
          <w:b/>
          <w:bCs/>
          <w:color w:val="auto"/>
          <w:szCs w:val="21"/>
          <w:highlight w:val="none"/>
        </w:rPr>
        <w:t>评标委员会认为</w:t>
      </w:r>
      <w:r>
        <w:rPr>
          <w:rFonts w:hint="eastAsia" w:ascii="仿宋" w:hAnsi="仿宋" w:cs="仿宋"/>
          <w:color w:val="auto"/>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cs="仿宋"/>
          <w:b/>
          <w:bCs/>
          <w:color w:val="auto"/>
          <w:szCs w:val="21"/>
          <w:highlight w:val="none"/>
        </w:rPr>
        <w:t>无效投标</w:t>
      </w:r>
      <w:r>
        <w:rPr>
          <w:rFonts w:hint="eastAsia" w:ascii="仿宋" w:hAnsi="仿宋" w:cs="仿宋"/>
          <w:color w:val="auto"/>
          <w:szCs w:val="21"/>
          <w:highlight w:val="none"/>
        </w:rPr>
        <w:t>处理。提交证明材料的合理时间按第四章 评标方法规定执行。</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25样品及演示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25.1投标人须知表11.3款中要求投标人提供样品的，按照投标人须知表25.1款中样品的评审方法以及评审标准进行评审。</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25.3演示的评审方法以及评审标准具体内容见投标人须知表25.1款。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26.投标无效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实质性要求是指招标文件中带有★号标识内容（包括本级及其下级编号中所有内容）等文字说明的要求。</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kern w:val="0"/>
          <w:szCs w:val="21"/>
          <w:highlight w:val="none"/>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如果投标文件没有对招标文件的实质性要求进行响应，将作为</w:t>
      </w:r>
      <w:r>
        <w:rPr>
          <w:rFonts w:hint="eastAsia" w:ascii="仿宋" w:hAnsi="仿宋" w:cs="仿宋"/>
          <w:b/>
          <w:bCs/>
          <w:color w:val="auto"/>
          <w:szCs w:val="21"/>
          <w:highlight w:val="none"/>
        </w:rPr>
        <w:t>无效投标</w:t>
      </w:r>
      <w:r>
        <w:rPr>
          <w:rFonts w:hint="eastAsia" w:ascii="仿宋" w:hAnsi="仿宋" w:cs="仿宋"/>
          <w:color w:val="auto"/>
          <w:szCs w:val="21"/>
          <w:highlight w:val="none"/>
        </w:rPr>
        <w:t>处理，投标人不得再对投标文件进行任何修正从而使其投标成为实质上响应的投标。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评标委员会决定投标的响应性只根据招标文件要求、投标文件内容及财政主管部门指定媒体发布的相关信息。</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26.2如发现下列情况之一的，其投标将被认定为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（1）未按招标文件的规定提交投标保证金的；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（2）未按照招标文件规定要求签署、盖章的；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（3）投标人的报价超过了招标文件中规定的预算金额或者最高限价的；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（4）不具备招标文件中规定的资格要求的；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（5）不符合法律、法规和招标文件中规定的其他实质性要求的。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（6）与其他投标人串通投标，或者与采购人串通投标；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（8）投标文件含有采购人不能接受的附加条件的；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（9）属于法律、法规和招标文件规定的其他投标无效情形；</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27.比较与评价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（1）最低评标价法，是指投标文件满足招标文件全部实质性要求，且投标报价最低的投标人为中标候选人的评标方法。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27.3根据《政府采购促进中小企业发展管理办法》（财库[2020]46号）、《财政部 司法部关于政府采购支持监狱企业发展有关问题的通知》（财库〔2014〕68 号）和《三部门联合发布关于促进残疾人就业政府采购政策的通知》（财库〔2017〕141 号）等的规定，对于非专门面向中小企业的项目，在满足价格扣除条件且在投标文件中提交了《中小企业声明函》，或省级以上监狱管理局、戒毒管理局（含新疆生产建设兵团）出具的属于监狱企业的证明文件的投标人， 其投标报价扣除 10-20%后参与评审。具体详见第四章 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28.废标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出现下列情形之一，将导致项目</w:t>
      </w:r>
      <w:r>
        <w:rPr>
          <w:rFonts w:hint="eastAsia" w:ascii="仿宋" w:hAnsi="仿宋" w:cs="仿宋"/>
          <w:b/>
          <w:bCs/>
          <w:color w:val="auto"/>
          <w:szCs w:val="21"/>
          <w:highlight w:val="none"/>
        </w:rPr>
        <w:t>废标</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（1）符合专业条件的投标人或者对招标文件做实质性响应的投标人不足3家；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（2）出现影响采购公正的违法、违规行为的；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（3）投标人的报价均超过了采购预算或最高限价，采购人不能支付的；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（4）因重大变故，采购任务取消的。</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29.中标候选人的推荐原则及标准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29.1除第32条规定外，评标委员会将根据评标标准，对实质上响应招标文件的投标人按下列方法进行排序，推荐中标候选人：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（2）采用综合评分法的，评标结果按评审后得分由高到低顺序排序。得分相同的，按第四章评标办法规定执行。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29.2评标委员会将根据评标标准，按投标人须知表29.2款中规定的数量推荐中标候选人。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29.3因推荐中标候选人名单产生其他问题，由评标委员会集体研究处理。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30.保密原则</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30.1评标将在严格保密的情况下进行。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30.2有关人员应当遵守评标工作纪律，不得泄露评审文件、评标情况和评标过程中获悉的国家秘密、商业秘密。</w:t>
      </w:r>
    </w:p>
    <w:p>
      <w:pPr>
        <w:pStyle w:val="4"/>
        <w:rPr>
          <w:rFonts w:hint="eastAsia" w:ascii="仿宋" w:hAnsi="仿宋" w:cs="仿宋"/>
          <w:color w:val="auto"/>
          <w:sz w:val="32"/>
          <w:szCs w:val="28"/>
          <w:highlight w:val="none"/>
        </w:rPr>
      </w:pPr>
      <w:bookmarkStart w:id="67" w:name="_Toc4544_WPSOffice_Level2"/>
      <w:r>
        <w:rPr>
          <w:rFonts w:hint="eastAsia" w:ascii="仿宋" w:hAnsi="仿宋" w:cs="仿宋"/>
          <w:color w:val="auto"/>
          <w:sz w:val="32"/>
          <w:szCs w:val="28"/>
          <w:highlight w:val="none"/>
        </w:rPr>
        <w:t>七 确定中标</w:t>
      </w:r>
      <w:bookmarkEnd w:id="67"/>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31.确定中标人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由采购人或者采购人委托评标委员会按照投标人须知表31中规定的方式确定中标人。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★32.采购任务取消</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因重大变故采购任务取消时，采购人有权拒绝任何供应商中标，且对受影响的投标人不承担任何责任。</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33.中标通知书</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33.2中标通知书是合同的组成部分。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34.签订合同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34.1中标人应当自发出中标通知书之日起 30 日内，与采购人签订书面合同。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35.履约保证金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35.1中标人应按照投标人须知表35.1款规定向采购人缴纳履约保证金。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36.采购代理服务费</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中标人须按照投标须知表36款规定，向采购代理机构支付采购代理服务费。</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37.廉洁自律规定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37.1采购代理机构工作人员不得以不正当手段获取政府采购代理业务，不得与采购人、投标人恶意串通操纵政府采购活动。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38.人员回避</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39.质疑与接收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39.3采购代理机构质疑函接收部门、联系电话和通讯地址, 见投标人须知表39.3款。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40.履约验收</w:t>
      </w:r>
    </w:p>
    <w:p>
      <w:pPr>
        <w:adjustRightInd w:val="0"/>
        <w:snapToGrid w:val="0"/>
        <w:spacing w:line="360" w:lineRule="auto"/>
        <w:ind w:firstLine="420"/>
        <w:rPr>
          <w:rFonts w:hint="eastAsia" w:ascii="仿宋" w:hAnsi="仿宋" w:cs="仿宋"/>
          <w:b/>
          <w:color w:val="auto"/>
          <w:highlight w:val="none"/>
        </w:rPr>
        <w:sectPr>
          <w:footerReference r:id="rId4" w:type="default"/>
          <w:pgSz w:w="11906" w:h="16838"/>
          <w:pgMar w:top="1440" w:right="1800" w:bottom="1440" w:left="1800" w:header="851" w:footer="992" w:gutter="0"/>
          <w:pgNumType w:start="1"/>
          <w:cols w:space="720" w:num="1"/>
          <w:docGrid w:type="linesAndChars" w:linePitch="312" w:charSpace="0"/>
        </w:sectPr>
      </w:pPr>
      <w:r>
        <w:rPr>
          <w:rFonts w:hint="eastAsia" w:ascii="仿宋" w:hAnsi="仿宋" w:cs="仿宋"/>
          <w:color w:val="auto"/>
          <w:szCs w:val="21"/>
          <w:highlight w:val="none"/>
        </w:rPr>
        <w:t>本项目采购人及其委托的采购代理机构将严格按照政府采购相关法律法规以及《辽宁省政府采购履约验收管理办法》（辽财采〔2017〕603号）的要求进行验收。</w:t>
      </w:r>
    </w:p>
    <w:p>
      <w:pPr>
        <w:pStyle w:val="3"/>
        <w:adjustRightInd w:val="0"/>
        <w:snapToGrid w:val="0"/>
        <w:spacing w:before="0" w:after="0"/>
        <w:rPr>
          <w:rFonts w:hint="eastAsia" w:ascii="仿宋" w:hAnsi="仿宋" w:cs="仿宋"/>
          <w:color w:val="auto"/>
          <w:highlight w:val="none"/>
        </w:rPr>
      </w:pPr>
      <w:bookmarkStart w:id="68" w:name="_Toc17725_WPSOffice_Level1"/>
      <w:bookmarkStart w:id="69" w:name="_Toc6403"/>
      <w:r>
        <w:rPr>
          <w:rFonts w:hint="eastAsia" w:ascii="仿宋" w:hAnsi="仿宋" w:cs="仿宋"/>
          <w:color w:val="auto"/>
          <w:highlight w:val="none"/>
        </w:rPr>
        <w:t>第二章 投标文件内容及格式</w:t>
      </w:r>
      <w:bookmarkEnd w:id="68"/>
      <w:bookmarkEnd w:id="69"/>
    </w:p>
    <w:p>
      <w:pPr>
        <w:spacing w:before="159" w:beforeLines="50"/>
        <w:rPr>
          <w:rFonts w:hint="eastAsia" w:ascii="仿宋" w:hAnsi="仿宋" w:cs="仿宋"/>
          <w:b/>
          <w:color w:val="auto"/>
          <w:sz w:val="24"/>
          <w:highlight w:val="none"/>
        </w:rPr>
      </w:pPr>
      <w:bookmarkStart w:id="70" w:name="投标文件内容及格式：Block"/>
      <w:bookmarkEnd w:id="70"/>
      <w:bookmarkStart w:id="71" w:name="sys_投标文件内容及格式：Block"/>
      <w:bookmarkEnd w:id="71"/>
      <w:bookmarkStart w:id="72" w:name="_Toc2481_WPSOffice_Level2"/>
      <w:bookmarkStart w:id="73" w:name="_Toc1538_WPSOffice_Level2"/>
      <w:r>
        <w:rPr>
          <w:rFonts w:hint="eastAsia" w:ascii="仿宋" w:hAnsi="仿宋" w:cs="仿宋"/>
          <w:b/>
          <w:color w:val="auto"/>
          <w:sz w:val="24"/>
          <w:highlight w:val="none"/>
        </w:rPr>
        <w:t>一、投标文件、电子文档的外封面、封口、封皮及目录</w:t>
      </w:r>
      <w:bookmarkEnd w:id="72"/>
      <w:bookmarkEnd w:id="73"/>
    </w:p>
    <w:tbl>
      <w:tblPr>
        <w:tblStyle w:val="2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序号</w:t>
            </w:r>
          </w:p>
        </w:tc>
        <w:tc>
          <w:tcPr>
            <w:tcW w:w="6976"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内容</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6976" w:type="dxa"/>
            <w:vAlign w:val="center"/>
          </w:tcPr>
          <w:p>
            <w:pPr>
              <w:widowControl/>
              <w:adjustRightInd w:val="0"/>
              <w:snapToGrid w:val="0"/>
              <w:jc w:val="left"/>
              <w:rPr>
                <w:rFonts w:hint="eastAsia" w:ascii="仿宋" w:hAnsi="仿宋" w:cs="仿宋"/>
                <w:b/>
                <w:color w:val="auto"/>
                <w:kern w:val="0"/>
                <w:szCs w:val="21"/>
                <w:highlight w:val="none"/>
              </w:rPr>
            </w:pPr>
            <w:r>
              <w:rPr>
                <w:rFonts w:hint="eastAsia" w:ascii="仿宋" w:hAnsi="仿宋" w:cs="仿宋"/>
                <w:color w:val="auto"/>
                <w:kern w:val="0"/>
                <w:szCs w:val="21"/>
                <w:highlight w:val="none"/>
              </w:rPr>
              <w:t>投标文件、电子文档的外封面及封口</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c>
          <w:tcPr>
            <w:tcW w:w="6976" w:type="dxa"/>
            <w:vAlign w:val="center"/>
          </w:tcPr>
          <w:p>
            <w:pPr>
              <w:widowControl/>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投标文件的封皮</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c>
          <w:tcPr>
            <w:tcW w:w="6976" w:type="dxa"/>
            <w:vAlign w:val="center"/>
          </w:tcPr>
          <w:p>
            <w:pPr>
              <w:widowControl/>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投标文件的目录</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r>
    </w:tbl>
    <w:p>
      <w:pPr>
        <w:snapToGrid w:val="0"/>
        <w:spacing w:before="159" w:beforeLines="50"/>
        <w:rPr>
          <w:rFonts w:hint="eastAsia" w:ascii="仿宋" w:hAnsi="仿宋" w:cs="仿宋"/>
          <w:b/>
          <w:color w:val="auto"/>
          <w:sz w:val="24"/>
          <w:highlight w:val="none"/>
        </w:rPr>
      </w:pPr>
      <w:bookmarkStart w:id="74" w:name="_Toc31052_WPSOffice_Level2"/>
      <w:bookmarkStart w:id="75" w:name="_Toc1266_WPSOffice_Level2"/>
      <w:r>
        <w:rPr>
          <w:rFonts w:hint="eastAsia" w:ascii="仿宋" w:hAnsi="仿宋" w:cs="仿宋"/>
          <w:b/>
          <w:color w:val="auto"/>
          <w:sz w:val="24"/>
          <w:highlight w:val="none"/>
        </w:rPr>
        <w:t>二、资格证明材料</w:t>
      </w:r>
      <w:bookmarkEnd w:id="74"/>
      <w:bookmarkEnd w:id="75"/>
      <w:r>
        <w:rPr>
          <w:rFonts w:hint="eastAsia" w:ascii="仿宋" w:hAnsi="仿宋" w:cs="仿宋"/>
          <w:b/>
          <w:color w:val="auto"/>
          <w:sz w:val="24"/>
          <w:highlight w:val="none"/>
        </w:rPr>
        <w:t>（有一项不符合要求，不能进入下一阶段评审）</w:t>
      </w:r>
    </w:p>
    <w:tbl>
      <w:tblPr>
        <w:tblStyle w:val="25"/>
        <w:tblW w:w="8490" w:type="dxa"/>
        <w:jc w:val="center"/>
        <w:tblLayout w:type="fixed"/>
        <w:tblCellMar>
          <w:top w:w="0" w:type="dxa"/>
          <w:left w:w="0" w:type="dxa"/>
          <w:bottom w:w="0" w:type="dxa"/>
          <w:right w:w="0" w:type="dxa"/>
        </w:tblCellMar>
      </w:tblPr>
      <w:tblGrid>
        <w:gridCol w:w="677"/>
        <w:gridCol w:w="7052"/>
        <w:gridCol w:w="761"/>
      </w:tblGrid>
      <w:tr>
        <w:tblPrEx>
          <w:tblCellMar>
            <w:top w:w="0" w:type="dxa"/>
            <w:left w:w="0" w:type="dxa"/>
            <w:bottom w:w="0" w:type="dxa"/>
            <w:right w:w="0" w:type="dxa"/>
          </w:tblCellMar>
        </w:tblPrEx>
        <w:trPr>
          <w:trHeight w:val="494" w:hRule="atLeast"/>
          <w:tblHeader/>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bookmarkStart w:id="76" w:name="sys_资格性证明材料：Document"/>
            <w:bookmarkStart w:id="77" w:name="资格性证明材料：Document"/>
            <w:r>
              <w:rPr>
                <w:rFonts w:hint="eastAsia" w:ascii="仿宋" w:hAnsi="仿宋" w:cs="仿宋"/>
                <w:color w:val="auto"/>
                <w:szCs w:val="21"/>
                <w:highlight w:val="none"/>
              </w:rPr>
              <w:t>序号</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资格证明材料</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格式</w:t>
            </w:r>
          </w:p>
        </w:tc>
      </w:tr>
      <w:tr>
        <w:tblPrEx>
          <w:tblCellMar>
            <w:top w:w="0" w:type="dxa"/>
            <w:left w:w="0" w:type="dxa"/>
            <w:bottom w:w="0" w:type="dxa"/>
            <w:right w:w="0" w:type="dxa"/>
          </w:tblCellMar>
        </w:tblPrEx>
        <w:trPr>
          <w:trHeight w:val="723"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营业执照或事业单位法人证书或执业许可证等证明文件复印件或自然人的身份证明复印件（自然人身份证明仅在自然人作为投标主体时适用）</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494"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2</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法定代表人（或非法人组织负责人）身份证明书（自然人投标的无需提供）</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4</w:t>
            </w:r>
          </w:p>
        </w:tc>
      </w:tr>
      <w:tr>
        <w:tblPrEx>
          <w:tblCellMar>
            <w:top w:w="0" w:type="dxa"/>
            <w:left w:w="0" w:type="dxa"/>
            <w:bottom w:w="0" w:type="dxa"/>
            <w:right w:w="0" w:type="dxa"/>
          </w:tblCellMar>
        </w:tblPrEx>
        <w:trPr>
          <w:trHeight w:val="494"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3</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法定代表人（或非法人组织负责人）授权委托书（授权委托人参加投标的须提供）</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5</w:t>
            </w:r>
          </w:p>
        </w:tc>
      </w:tr>
      <w:tr>
        <w:tblPrEx>
          <w:tblCellMar>
            <w:top w:w="0" w:type="dxa"/>
            <w:left w:w="0" w:type="dxa"/>
            <w:bottom w:w="0" w:type="dxa"/>
            <w:right w:w="0" w:type="dxa"/>
          </w:tblCellMar>
        </w:tblPrEx>
        <w:trPr>
          <w:trHeight w:val="485"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4</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具有良好的商业信誉和健全的财务会计制度的承诺函</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6</w:t>
            </w:r>
          </w:p>
        </w:tc>
      </w:tr>
      <w:tr>
        <w:tblPrEx>
          <w:tblCellMar>
            <w:top w:w="0" w:type="dxa"/>
            <w:left w:w="0" w:type="dxa"/>
            <w:bottom w:w="0" w:type="dxa"/>
            <w:right w:w="0" w:type="dxa"/>
          </w:tblCellMar>
        </w:tblPrEx>
        <w:trPr>
          <w:trHeight w:val="961"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5</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开标时间前六个月内任一个月的依法缴纳税收的缴款凭据复印件</w:t>
            </w:r>
          </w:p>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（注：依法免税的投标人，应提供相关证明材料，包括相关法规要求原文及加盖单位公章的情况说明）</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961"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6</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421"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具备履行合同所必需的设备和专业技术能力声明函</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r>
      <w:tr>
        <w:tblPrEx>
          <w:tblCellMar>
            <w:top w:w="0" w:type="dxa"/>
            <w:left w:w="0" w:type="dxa"/>
            <w:bottom w:w="0" w:type="dxa"/>
            <w:right w:w="0" w:type="dxa"/>
          </w:tblCellMar>
        </w:tblPrEx>
        <w:trPr>
          <w:trHeight w:val="498"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参加政府采购活动前3年内在经营活动中没有重大违法记录的书面声明</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r>
      <w:tr>
        <w:tblPrEx>
          <w:tblCellMar>
            <w:top w:w="0" w:type="dxa"/>
            <w:left w:w="0" w:type="dxa"/>
            <w:bottom w:w="0" w:type="dxa"/>
            <w:right w:w="0" w:type="dxa"/>
          </w:tblCellMar>
        </w:tblPrEx>
        <w:trPr>
          <w:trHeight w:val="498"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9</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提供中小企业声明函或监狱企业证明材料或残疾人福利性单位声明函</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15、16</w:t>
            </w:r>
          </w:p>
        </w:tc>
      </w:tr>
      <w:tr>
        <w:tblPrEx>
          <w:tblCellMar>
            <w:top w:w="0" w:type="dxa"/>
            <w:left w:w="0" w:type="dxa"/>
            <w:bottom w:w="0" w:type="dxa"/>
            <w:right w:w="0" w:type="dxa"/>
          </w:tblCellMar>
        </w:tblPrEx>
        <w:trPr>
          <w:trHeight w:val="723" w:hRule="atLeast"/>
          <w:jc w:val="center"/>
        </w:trPr>
        <w:tc>
          <w:tcPr>
            <w:tcW w:w="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10</w:t>
            </w:r>
          </w:p>
        </w:tc>
        <w:tc>
          <w:tcPr>
            <w:tcW w:w="7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信用记录（采购人或采购代理机构将在招标文件规定的审查期间内进行查询）</w:t>
            </w:r>
          </w:p>
        </w:tc>
        <w:tc>
          <w:tcPr>
            <w:tcW w:w="7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bl>
    <w:p>
      <w:pPr>
        <w:snapToGrid w:val="0"/>
        <w:spacing w:before="159" w:beforeLines="50"/>
        <w:rPr>
          <w:rFonts w:hint="eastAsia" w:ascii="仿宋" w:hAnsi="仿宋" w:cs="仿宋"/>
          <w:b/>
          <w:color w:val="auto"/>
          <w:sz w:val="24"/>
          <w:highlight w:val="none"/>
        </w:rPr>
      </w:pPr>
      <w:bookmarkStart w:id="78" w:name="_Toc22359_WPSOffice_Level2"/>
      <w:bookmarkStart w:id="79" w:name="_Toc25206_WPSOffice_Level2"/>
      <w:r>
        <w:rPr>
          <w:rFonts w:hint="eastAsia" w:ascii="仿宋" w:hAnsi="仿宋" w:cs="仿宋"/>
          <w:b/>
          <w:color w:val="auto"/>
          <w:sz w:val="24"/>
          <w:highlight w:val="none"/>
        </w:rPr>
        <w:t>三、符合性证明材料</w:t>
      </w:r>
      <w:bookmarkEnd w:id="78"/>
      <w:bookmarkEnd w:id="79"/>
      <w:r>
        <w:rPr>
          <w:rFonts w:hint="eastAsia" w:ascii="仿宋" w:hAnsi="仿宋" w:cs="仿宋"/>
          <w:b/>
          <w:color w:val="auto"/>
          <w:sz w:val="24"/>
          <w:highlight w:val="none"/>
        </w:rPr>
        <w:t>（有一项不符合要求，不能进入下一阶段评审）</w:t>
      </w:r>
    </w:p>
    <w:bookmarkEnd w:id="76"/>
    <w:bookmarkEnd w:id="77"/>
    <w:tbl>
      <w:tblPr>
        <w:tblStyle w:val="25"/>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序号</w:t>
            </w:r>
          </w:p>
        </w:tc>
        <w:tc>
          <w:tcPr>
            <w:tcW w:w="698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符合性证明材料</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投标函</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开标一览表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分项报价表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4</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技术规格偏离表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5</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商务条款偏离表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6</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投标人关联单位说明</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7" w:type="dxa"/>
            <w:vAlign w:val="center"/>
          </w:tcPr>
          <w:p>
            <w:pPr>
              <w:spacing w:line="360" w:lineRule="exact"/>
              <w:jc w:val="center"/>
              <w:rPr>
                <w:rFonts w:hint="eastAsia" w:ascii="仿宋" w:hAnsi="仿宋" w:cs="仿宋"/>
                <w:color w:val="auto"/>
                <w:kern w:val="0"/>
                <w:szCs w:val="21"/>
                <w:highlight w:val="none"/>
              </w:rPr>
            </w:pPr>
            <w:bookmarkStart w:id="80" w:name="_Toc24432_WPSOffice_Level2"/>
            <w:bookmarkStart w:id="81" w:name="_Toc27769_WPSOffice_Level2"/>
            <w:r>
              <w:rPr>
                <w:rFonts w:hint="eastAsia" w:ascii="仿宋" w:hAnsi="仿宋" w:cs="仿宋"/>
                <w:color w:val="auto"/>
                <w:kern w:val="0"/>
                <w:szCs w:val="21"/>
                <w:highlight w:val="none"/>
              </w:rPr>
              <w:t>7</w:t>
            </w:r>
          </w:p>
        </w:tc>
        <w:tc>
          <w:tcPr>
            <w:tcW w:w="6986" w:type="dxa"/>
            <w:vAlign w:val="center"/>
          </w:tcPr>
          <w:p>
            <w:pPr>
              <w:spacing w:line="360" w:lineRule="exact"/>
              <w:rPr>
                <w:rFonts w:hint="eastAsia" w:ascii="仿宋" w:hAnsi="仿宋" w:cs="仿宋"/>
                <w:color w:val="auto"/>
                <w:kern w:val="0"/>
                <w:szCs w:val="21"/>
                <w:highlight w:val="none"/>
              </w:rPr>
            </w:pPr>
            <w:r>
              <w:rPr>
                <w:rFonts w:hint="eastAsia" w:ascii="仿宋" w:hAnsi="仿宋" w:cs="仿宋"/>
                <w:color w:val="auto"/>
                <w:kern w:val="0"/>
                <w:szCs w:val="21"/>
                <w:highlight w:val="none"/>
              </w:rPr>
              <w:t>电子文件和电子备份文件一致性承诺函</w:t>
            </w:r>
          </w:p>
        </w:tc>
        <w:tc>
          <w:tcPr>
            <w:tcW w:w="756" w:type="dxa"/>
            <w:vAlign w:val="center"/>
          </w:tcPr>
          <w:p>
            <w:pPr>
              <w:spacing w:line="360" w:lineRule="exact"/>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7" w:type="dxa"/>
            <w:vAlign w:val="center"/>
          </w:tcPr>
          <w:p>
            <w:pPr>
              <w:spacing w:line="360" w:lineRule="exact"/>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8</w:t>
            </w:r>
          </w:p>
        </w:tc>
        <w:tc>
          <w:tcPr>
            <w:tcW w:w="6986" w:type="dxa"/>
            <w:shd w:val="clear" w:color="auto" w:fill="auto"/>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其他符合性证明材料：</w:t>
            </w:r>
          </w:p>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货物主要技术指标和性能的详细说明（产品技术说明书</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官网技术参数截图</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技术白皮书</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产品彩页</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第三方检测报告</w:t>
            </w:r>
            <w:r>
              <w:rPr>
                <w:rFonts w:hint="eastAsia" w:ascii="仿宋" w:hAnsi="仿宋" w:cs="仿宋"/>
                <w:color w:val="auto"/>
                <w:kern w:val="0"/>
                <w:szCs w:val="21"/>
                <w:highlight w:val="none"/>
                <w:lang w:eastAsia="zh-CN"/>
              </w:rPr>
              <w:t>等</w:t>
            </w:r>
            <w:r>
              <w:rPr>
                <w:rFonts w:hint="eastAsia" w:ascii="仿宋" w:hAnsi="仿宋" w:cs="仿宋"/>
                <w:color w:val="auto"/>
                <w:kern w:val="0"/>
                <w:szCs w:val="21"/>
                <w:highlight w:val="none"/>
              </w:rPr>
              <w:t>）。</w:t>
            </w:r>
          </w:p>
        </w:tc>
        <w:tc>
          <w:tcPr>
            <w:tcW w:w="756" w:type="dxa"/>
            <w:vAlign w:val="center"/>
          </w:tcPr>
          <w:p>
            <w:pPr>
              <w:spacing w:line="360" w:lineRule="exact"/>
              <w:jc w:val="center"/>
              <w:rPr>
                <w:rFonts w:hint="eastAsia" w:ascii="仿宋" w:hAnsi="仿宋" w:cs="仿宋"/>
                <w:color w:val="auto"/>
                <w:kern w:val="0"/>
                <w:szCs w:val="21"/>
                <w:highlight w:val="none"/>
              </w:rPr>
            </w:pPr>
          </w:p>
        </w:tc>
      </w:tr>
    </w:tbl>
    <w:p>
      <w:pPr>
        <w:snapToGrid w:val="0"/>
        <w:spacing w:before="159" w:beforeLines="50"/>
        <w:rPr>
          <w:rFonts w:hint="eastAsia" w:ascii="仿宋" w:hAnsi="仿宋" w:cs="仿宋"/>
          <w:b/>
          <w:color w:val="auto"/>
          <w:sz w:val="24"/>
          <w:highlight w:val="none"/>
        </w:rPr>
      </w:pPr>
      <w:r>
        <w:rPr>
          <w:rFonts w:hint="eastAsia" w:ascii="仿宋" w:hAnsi="仿宋" w:cs="仿宋"/>
          <w:b/>
          <w:color w:val="auto"/>
          <w:sz w:val="24"/>
          <w:highlight w:val="none"/>
        </w:rPr>
        <w:t>四、其他材料</w:t>
      </w:r>
      <w:bookmarkEnd w:id="80"/>
      <w:bookmarkEnd w:id="81"/>
      <w:r>
        <w:rPr>
          <w:rFonts w:hint="eastAsia" w:ascii="仿宋" w:hAnsi="仿宋" w:cs="仿宋"/>
          <w:b/>
          <w:color w:val="auto"/>
          <w:sz w:val="24"/>
          <w:highlight w:val="none"/>
        </w:rPr>
        <w:t>（如有，请提供；如未提供，投标文件不作无效处理）</w:t>
      </w:r>
    </w:p>
    <w:tbl>
      <w:tblPr>
        <w:tblStyle w:val="25"/>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pPr>
              <w:adjustRightInd w:val="0"/>
              <w:snapToGrid w:val="0"/>
              <w:jc w:val="center"/>
              <w:rPr>
                <w:rFonts w:hint="eastAsia" w:ascii="仿宋" w:hAnsi="仿宋" w:cs="仿宋"/>
                <w:color w:val="auto"/>
                <w:kern w:val="0"/>
                <w:highlight w:val="none"/>
              </w:rPr>
            </w:pPr>
            <w:bookmarkStart w:id="82" w:name="_Toc23127_WPSOffice_Level2"/>
            <w:bookmarkStart w:id="83" w:name="_Toc24011_WPSOffice_Level2"/>
            <w:r>
              <w:rPr>
                <w:rFonts w:hint="eastAsia" w:ascii="仿宋" w:hAnsi="仿宋" w:cs="仿宋"/>
                <w:color w:val="auto"/>
                <w:kern w:val="0"/>
                <w:highlight w:val="none"/>
              </w:rPr>
              <w:t>序号</w:t>
            </w:r>
          </w:p>
        </w:tc>
        <w:tc>
          <w:tcPr>
            <w:tcW w:w="6985" w:type="dxa"/>
            <w:vAlign w:val="center"/>
          </w:tcPr>
          <w:p>
            <w:pPr>
              <w:adjustRightInd w:val="0"/>
              <w:snapToGrid w:val="0"/>
              <w:jc w:val="center"/>
              <w:rPr>
                <w:rFonts w:hint="eastAsia" w:ascii="仿宋" w:hAnsi="仿宋" w:cs="仿宋"/>
                <w:color w:val="auto"/>
                <w:kern w:val="0"/>
                <w:highlight w:val="none"/>
              </w:rPr>
            </w:pPr>
            <w:r>
              <w:rPr>
                <w:rFonts w:hint="eastAsia" w:ascii="仿宋" w:hAnsi="仿宋" w:cs="仿宋"/>
                <w:color w:val="auto"/>
                <w:kern w:val="0"/>
                <w:highlight w:val="none"/>
              </w:rPr>
              <w:t>其他材料</w:t>
            </w:r>
          </w:p>
        </w:tc>
        <w:tc>
          <w:tcPr>
            <w:tcW w:w="756" w:type="dxa"/>
            <w:vAlign w:val="center"/>
          </w:tcPr>
          <w:p>
            <w:pPr>
              <w:adjustRightInd w:val="0"/>
              <w:snapToGrid w:val="0"/>
              <w:jc w:val="center"/>
              <w:rPr>
                <w:rFonts w:hint="eastAsia" w:ascii="仿宋" w:hAnsi="仿宋" w:cs="仿宋"/>
                <w:color w:val="auto"/>
                <w:kern w:val="0"/>
                <w:highlight w:val="none"/>
              </w:rPr>
            </w:pPr>
            <w:r>
              <w:rPr>
                <w:rFonts w:hint="eastAsia" w:ascii="仿宋" w:hAnsi="仿宋" w:cs="仿宋"/>
                <w:color w:val="auto"/>
                <w:kern w:val="0"/>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vAlign w:val="center"/>
          </w:tcPr>
          <w:p>
            <w:pPr>
              <w:adjustRightInd w:val="0"/>
              <w:snapToGrid w:val="0"/>
              <w:jc w:val="center"/>
              <w:rPr>
                <w:rFonts w:hint="eastAsia" w:ascii="仿宋" w:hAnsi="仿宋" w:cs="仿宋"/>
                <w:color w:val="auto"/>
                <w:kern w:val="0"/>
                <w:highlight w:val="none"/>
              </w:rPr>
            </w:pPr>
            <w:r>
              <w:rPr>
                <w:rFonts w:hint="eastAsia" w:ascii="仿宋" w:hAnsi="仿宋" w:cs="仿宋"/>
                <w:color w:val="auto"/>
                <w:kern w:val="0"/>
                <w:highlight w:val="none"/>
              </w:rPr>
              <w:t>1</w:t>
            </w:r>
          </w:p>
        </w:tc>
        <w:tc>
          <w:tcPr>
            <w:tcW w:w="6985" w:type="dxa"/>
            <w:vAlign w:val="center"/>
          </w:tcPr>
          <w:p>
            <w:pPr>
              <w:adjustRightInd w:val="0"/>
              <w:snapToGrid w:val="0"/>
              <w:rPr>
                <w:rFonts w:hint="eastAsia" w:ascii="仿宋" w:hAnsi="仿宋" w:cs="仿宋"/>
                <w:color w:val="auto"/>
                <w:kern w:val="0"/>
                <w:highlight w:val="none"/>
              </w:rPr>
            </w:pPr>
            <w:r>
              <w:rPr>
                <w:rFonts w:hint="eastAsia" w:ascii="仿宋" w:hAnsi="仿宋" w:cs="仿宋"/>
                <w:color w:val="auto"/>
                <w:kern w:val="0"/>
                <w:highlight w:val="none"/>
              </w:rPr>
              <w:t xml:space="preserve">《品目清单》、国家确定的认证机构出具的、处于有效期之内的《节能产品、环境标志产品认证证书》（非政府强制采购的节能产品可以提供） </w:t>
            </w:r>
          </w:p>
        </w:tc>
        <w:tc>
          <w:tcPr>
            <w:tcW w:w="756" w:type="dxa"/>
            <w:vAlign w:val="center"/>
          </w:tcPr>
          <w:p>
            <w:pPr>
              <w:adjustRightInd w:val="0"/>
              <w:snapToGrid w:val="0"/>
              <w:jc w:val="center"/>
              <w:rPr>
                <w:rFonts w:hint="eastAsia" w:ascii="仿宋" w:hAnsi="仿宋" w:cs="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hint="eastAsia" w:ascii="仿宋" w:hAnsi="仿宋" w:cs="仿宋"/>
                <w:color w:val="auto"/>
                <w:kern w:val="0"/>
                <w:highlight w:val="none"/>
              </w:rPr>
            </w:pPr>
            <w:r>
              <w:rPr>
                <w:rFonts w:hint="eastAsia" w:ascii="仿宋" w:hAnsi="仿宋" w:cs="仿宋"/>
                <w:color w:val="auto"/>
                <w:kern w:val="0"/>
                <w:highlight w:val="none"/>
              </w:rPr>
              <w:t>2</w:t>
            </w:r>
          </w:p>
        </w:tc>
        <w:tc>
          <w:tcPr>
            <w:tcW w:w="6985" w:type="dxa"/>
            <w:vAlign w:val="center"/>
          </w:tcPr>
          <w:p>
            <w:pPr>
              <w:adjustRightInd w:val="0"/>
              <w:snapToGrid w:val="0"/>
              <w:ind w:left="25" w:leftChars="12"/>
              <w:rPr>
                <w:rFonts w:hint="eastAsia" w:ascii="仿宋" w:hAnsi="仿宋" w:cs="仿宋"/>
                <w:color w:val="auto"/>
                <w:highlight w:val="none"/>
              </w:rPr>
            </w:pPr>
            <w:r>
              <w:rPr>
                <w:rFonts w:hint="eastAsia" w:ascii="仿宋" w:hAnsi="仿宋" w:cs="仿宋"/>
                <w:color w:val="auto"/>
                <w:highlight w:val="none"/>
              </w:rPr>
              <w:t>列入《辽宁省创新产品和服务目录》内的产品、服务的证明材料（如适用）</w:t>
            </w:r>
          </w:p>
          <w:p>
            <w:pPr>
              <w:adjustRightInd w:val="0"/>
              <w:snapToGrid w:val="0"/>
              <w:ind w:left="25" w:leftChars="12"/>
              <w:rPr>
                <w:rFonts w:hint="eastAsia" w:ascii="仿宋" w:hAnsi="仿宋" w:cs="仿宋"/>
                <w:color w:val="auto"/>
                <w:highlight w:val="none"/>
              </w:rPr>
            </w:pPr>
            <w:r>
              <w:rPr>
                <w:rFonts w:hint="eastAsia" w:ascii="仿宋" w:hAnsi="仿宋" w:cs="仿宋"/>
                <w:color w:val="auto"/>
                <w:highlight w:val="none"/>
              </w:rPr>
              <w:t>（此项要求可视实际情况设置在符合性证明材料或其他材料中）</w:t>
            </w:r>
          </w:p>
        </w:tc>
        <w:tc>
          <w:tcPr>
            <w:tcW w:w="756" w:type="dxa"/>
            <w:vAlign w:val="center"/>
          </w:tcPr>
          <w:p>
            <w:pPr>
              <w:adjustRightInd w:val="0"/>
              <w:snapToGrid w:val="0"/>
              <w:jc w:val="center"/>
              <w:rPr>
                <w:rFonts w:hint="eastAsia" w:ascii="仿宋" w:hAnsi="仿宋" w:cs="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vAlign w:val="center"/>
          </w:tcPr>
          <w:p>
            <w:pPr>
              <w:adjustRightInd w:val="0"/>
              <w:snapToGrid w:val="0"/>
              <w:jc w:val="center"/>
              <w:rPr>
                <w:rFonts w:hint="eastAsia" w:ascii="仿宋" w:hAnsi="仿宋" w:cs="仿宋"/>
                <w:color w:val="auto"/>
                <w:kern w:val="0"/>
                <w:highlight w:val="none"/>
              </w:rPr>
            </w:pPr>
          </w:p>
        </w:tc>
        <w:tc>
          <w:tcPr>
            <w:tcW w:w="6985" w:type="dxa"/>
            <w:vAlign w:val="center"/>
          </w:tcPr>
          <w:p>
            <w:pPr>
              <w:pStyle w:val="59"/>
              <w:adjustRightInd w:val="0"/>
              <w:snapToGrid w:val="0"/>
              <w:ind w:left="25" w:leftChars="12"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756" w:type="dxa"/>
            <w:vAlign w:val="center"/>
          </w:tcPr>
          <w:p>
            <w:pPr>
              <w:adjustRightInd w:val="0"/>
              <w:snapToGrid w:val="0"/>
              <w:jc w:val="center"/>
              <w:rPr>
                <w:rFonts w:hint="eastAsia" w:ascii="仿宋" w:hAnsi="仿宋" w:cs="仿宋"/>
                <w:color w:val="auto"/>
                <w:kern w:val="0"/>
                <w:highlight w:val="none"/>
              </w:rPr>
            </w:pPr>
          </w:p>
        </w:tc>
      </w:tr>
    </w:tbl>
    <w:p>
      <w:pPr>
        <w:adjustRightInd w:val="0"/>
        <w:snapToGrid w:val="0"/>
        <w:spacing w:line="360" w:lineRule="auto"/>
        <w:ind w:firstLine="480" w:firstLineChars="200"/>
        <w:rPr>
          <w:rFonts w:hint="eastAsia" w:ascii="仿宋" w:hAnsi="仿宋" w:cs="仿宋"/>
          <w:b/>
          <w:color w:val="auto"/>
          <w:sz w:val="24"/>
          <w:highlight w:val="none"/>
        </w:rPr>
      </w:pPr>
      <w:r>
        <w:rPr>
          <w:rFonts w:hint="eastAsia" w:ascii="仿宋" w:hAnsi="仿宋" w:cs="仿宋"/>
          <w:b/>
          <w:color w:val="auto"/>
          <w:sz w:val="24"/>
          <w:highlight w:val="none"/>
        </w:rPr>
        <w:t>重要提示：</w:t>
      </w:r>
      <w:bookmarkEnd w:id="82"/>
      <w:bookmarkEnd w:id="83"/>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1、投标人提供的证明材料，除需要投标人填报或有特殊说明外，均须按要求提供。</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2、投标人在编制投标文件时，对于给定格式的文件内容，必须按照给定的标准格式进行填报；对于没有给定标准格式的文件内容，可以由投标人自行设计。</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3、投标文件应用中文书写。投标文件中所附或所引用的材料不是中文时，应附中文译本，并加盖单位公章（自然人投标的，无需加盖单位公章，需要签字）。</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szCs w:val="21"/>
          <w:highlight w:val="none"/>
        </w:rPr>
        <w:t>4、</w:t>
      </w:r>
      <w:r>
        <w:rPr>
          <w:rFonts w:hint="eastAsia" w:ascii="仿宋" w:hAnsi="仿宋" w:cs="仿宋"/>
          <w:b/>
          <w:bCs/>
          <w:color w:val="auto"/>
          <w:szCs w:val="21"/>
          <w:highlight w:val="none"/>
        </w:rPr>
        <w:t>“资格证明材料”</w:t>
      </w:r>
      <w:r>
        <w:rPr>
          <w:rFonts w:hint="eastAsia" w:ascii="仿宋" w:hAnsi="仿宋" w:cs="仿宋"/>
          <w:color w:val="auto"/>
          <w:highlight w:val="none"/>
        </w:rPr>
        <w:t>所列内容即为采购项目的资格审查条件，有一项不符合要求，不能进入下一阶段评审。</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highlight w:val="none"/>
        </w:rPr>
        <w:t>5、</w:t>
      </w:r>
      <w:r>
        <w:rPr>
          <w:rFonts w:hint="eastAsia" w:ascii="仿宋" w:hAnsi="仿宋" w:cs="仿宋"/>
          <w:b/>
          <w:bCs/>
          <w:color w:val="auto"/>
          <w:szCs w:val="21"/>
          <w:highlight w:val="none"/>
        </w:rPr>
        <w:t>“符合性证明材料”</w:t>
      </w:r>
      <w:r>
        <w:rPr>
          <w:rFonts w:hint="eastAsia" w:ascii="仿宋" w:hAnsi="仿宋" w:cs="仿宋"/>
          <w:color w:val="auto"/>
          <w:highlight w:val="none"/>
        </w:rPr>
        <w:t>所列内容即为采购项目的符合性审查条件，有一项不符合要求，不能进入下一阶段评审。</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highlight w:val="none"/>
        </w:rPr>
        <w:t>6、</w:t>
      </w:r>
      <w:r>
        <w:rPr>
          <w:rFonts w:hint="eastAsia" w:ascii="仿宋" w:hAnsi="仿宋" w:cs="仿宋"/>
          <w:color w:val="auto"/>
          <w:szCs w:val="21"/>
          <w:highlight w:val="none"/>
        </w:rPr>
        <w:t>“其他材料”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（1）</w:t>
      </w:r>
      <w:r>
        <w:rPr>
          <w:rFonts w:hint="eastAsia" w:ascii="仿宋" w:hAnsi="仿宋" w:cs="仿宋"/>
          <w:color w:val="auto"/>
          <w:kern w:val="0"/>
          <w:szCs w:val="21"/>
          <w:highlight w:val="none"/>
        </w:rPr>
        <w:t>综合评分法：</w:t>
      </w:r>
      <w:r>
        <w:rPr>
          <w:rFonts w:hint="eastAsia" w:ascii="仿宋" w:hAnsi="仿宋" w:cs="仿宋"/>
          <w:color w:val="auto"/>
          <w:szCs w:val="21"/>
          <w:highlight w:val="none"/>
        </w:rPr>
        <w:t>投标人可就</w:t>
      </w:r>
      <w:r>
        <w:rPr>
          <w:rFonts w:hint="eastAsia" w:ascii="仿宋" w:hAnsi="仿宋" w:cs="仿宋"/>
          <w:color w:val="auto"/>
          <w:kern w:val="0"/>
          <w:szCs w:val="21"/>
          <w:highlight w:val="none"/>
        </w:rPr>
        <w:t>招标文件要求以及评分细则中各项要求提供相应材料。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（2）</w:t>
      </w:r>
      <w:r>
        <w:rPr>
          <w:rFonts w:hint="eastAsia" w:ascii="仿宋" w:hAnsi="仿宋" w:cs="仿宋"/>
          <w:color w:val="auto"/>
          <w:kern w:val="0"/>
          <w:szCs w:val="21"/>
          <w:highlight w:val="none"/>
        </w:rPr>
        <w:t>最低评标价法：</w:t>
      </w:r>
      <w:r>
        <w:rPr>
          <w:rFonts w:hint="eastAsia" w:ascii="仿宋" w:hAnsi="仿宋" w:cs="仿宋"/>
          <w:color w:val="auto"/>
          <w:szCs w:val="21"/>
          <w:highlight w:val="none"/>
        </w:rPr>
        <w:t>投标人可就</w:t>
      </w:r>
      <w:r>
        <w:rPr>
          <w:rFonts w:hint="eastAsia" w:ascii="仿宋" w:hAnsi="仿宋" w:cs="仿宋"/>
          <w:color w:val="auto"/>
          <w:kern w:val="0"/>
          <w:szCs w:val="21"/>
          <w:highlight w:val="none"/>
        </w:rPr>
        <w:t>招标文件要求提供相应材料。</w:t>
      </w:r>
    </w:p>
    <w:p>
      <w:pPr>
        <w:pStyle w:val="23"/>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23"/>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23"/>
        <w:ind w:firstLine="240"/>
        <w:rPr>
          <w:rFonts w:hint="eastAsia" w:ascii="仿宋" w:hAnsi="仿宋" w:eastAsia="仿宋" w:cs="仿宋"/>
          <w:color w:val="auto"/>
          <w:highlight w:val="none"/>
        </w:rPr>
      </w:pPr>
    </w:p>
    <w:p>
      <w:pPr>
        <w:rPr>
          <w:rFonts w:hint="eastAsia" w:ascii="仿宋" w:hAnsi="仿宋" w:cs="仿宋"/>
          <w:color w:val="auto"/>
          <w:highlight w:val="none"/>
        </w:rPr>
      </w:pP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w:t>
      </w:r>
    </w:p>
    <w:p>
      <w:pPr>
        <w:jc w:val="center"/>
        <w:rPr>
          <w:rFonts w:hint="eastAsia" w:ascii="仿宋" w:hAnsi="仿宋" w:cs="仿宋"/>
          <w:b/>
          <w:bCs/>
          <w:color w:val="auto"/>
          <w:sz w:val="32"/>
          <w:szCs w:val="32"/>
          <w:highlight w:val="none"/>
        </w:rPr>
      </w:pPr>
      <w:bookmarkStart w:id="84" w:name="_Toc21090_WPSOffice_Level2"/>
      <w:bookmarkStart w:id="85" w:name="_Toc26322_WPSOffice_Level2"/>
      <w:r>
        <w:rPr>
          <w:rFonts w:hint="eastAsia" w:ascii="仿宋" w:hAnsi="仿宋" w:cs="仿宋"/>
          <w:b/>
          <w:bCs/>
          <w:color w:val="auto"/>
          <w:sz w:val="32"/>
          <w:szCs w:val="32"/>
          <w:highlight w:val="none"/>
        </w:rPr>
        <w:t>投标文件、电子文档外封面、封口格式</w:t>
      </w:r>
      <w:bookmarkEnd w:id="84"/>
      <w:bookmarkEnd w:id="85"/>
    </w:p>
    <w:p>
      <w:pPr>
        <w:rPr>
          <w:rFonts w:hint="eastAsia" w:ascii="仿宋" w:hAnsi="仿宋" w:cs="仿宋"/>
          <w:color w:val="auto"/>
          <w:highlight w:val="none"/>
        </w:rPr>
      </w:pPr>
      <w:r>
        <w:rPr>
          <w:rFonts w:hint="eastAsia" w:ascii="仿宋" w:hAnsi="仿宋" w:cs="仿宋"/>
          <w:color w:val="auto"/>
          <w:sz w:val="28"/>
          <w:szCs w:val="28"/>
          <w:highlight w:val="none"/>
        </w:rPr>
        <w:t>封面格式：</w:t>
      </w:r>
    </w:p>
    <w:tbl>
      <w:tblPr>
        <w:tblStyle w:val="25"/>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r>
              <w:rPr>
                <w:rFonts w:hint="eastAsia" w:ascii="仿宋" w:hAnsi="仿宋" w:cs="仿宋"/>
                <w:b/>
                <w:bCs/>
                <w:color w:val="auto"/>
                <w:sz w:val="44"/>
                <w:szCs w:val="52"/>
                <w:highlight w:val="none"/>
              </w:rPr>
              <w:t>投标文件/电子文档</w:t>
            </w: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所投包号：第  包</w:t>
            </w: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项目名称：</w:t>
            </w: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项目编号：</w:t>
            </w:r>
          </w:p>
          <w:p>
            <w:pPr>
              <w:jc w:val="center"/>
              <w:rPr>
                <w:rFonts w:hint="eastAsia" w:ascii="仿宋" w:hAnsi="仿宋" w:cs="仿宋"/>
                <w:color w:val="auto"/>
                <w:highlight w:val="none"/>
              </w:rPr>
            </w:pPr>
          </w:p>
          <w:p>
            <w:pPr>
              <w:jc w:val="center"/>
              <w:rPr>
                <w:rFonts w:hint="eastAsia" w:ascii="仿宋" w:hAnsi="仿宋" w:cs="仿宋"/>
                <w:color w:val="auto"/>
                <w:highlight w:val="none"/>
              </w:rPr>
            </w:pPr>
          </w:p>
          <w:p>
            <w:pPr>
              <w:jc w:val="center"/>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投标人名称（加盖单位公章）</w:t>
            </w:r>
          </w:p>
        </w:tc>
      </w:tr>
    </w:tbl>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r>
        <w:rPr>
          <w:rFonts w:hint="eastAsia" w:ascii="仿宋" w:hAnsi="仿宋" w:cs="仿宋"/>
          <w:color w:val="auto"/>
          <w:sz w:val="24"/>
          <w:szCs w:val="32"/>
          <w:highlight w:val="none"/>
        </w:rPr>
        <w:t>封口格式：</w:t>
      </w:r>
    </w:p>
    <w:tbl>
      <w:tblPr>
        <w:tblStyle w:val="2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highlight w:val="none"/>
              </w:rPr>
            </w:pPr>
            <w:r>
              <w:rPr>
                <w:rFonts w:hint="eastAsia" w:ascii="仿宋" w:hAnsi="仿宋" w:cs="仿宋"/>
                <w:color w:val="auto"/>
                <w:highlight w:val="none"/>
              </w:rPr>
              <w:t>——于   年  月  日   时之前不准启封（公章）——</w:t>
            </w:r>
          </w:p>
        </w:tc>
      </w:tr>
    </w:tbl>
    <w:p>
      <w:pPr>
        <w:rPr>
          <w:rFonts w:hint="eastAsia" w:ascii="仿宋" w:hAnsi="仿宋" w:cs="仿宋"/>
          <w:color w:val="auto"/>
          <w:highlight w:val="none"/>
        </w:rPr>
      </w:pPr>
    </w:p>
    <w:p>
      <w:pPr>
        <w:rPr>
          <w:rFonts w:hint="eastAsia" w:ascii="仿宋" w:hAnsi="仿宋" w:cs="仿宋"/>
          <w:color w:val="auto"/>
          <w:szCs w:val="28"/>
          <w:highlight w:val="none"/>
        </w:rPr>
      </w:pPr>
      <w:r>
        <w:rPr>
          <w:rFonts w:hint="eastAsia" w:ascii="仿宋" w:hAnsi="仿宋" w:cs="仿宋"/>
          <w:b/>
          <w:color w:val="auto"/>
          <w:sz w:val="28"/>
          <w:szCs w:val="28"/>
          <w:highlight w:val="none"/>
        </w:rPr>
        <w:br w:type="page"/>
      </w:r>
      <w:r>
        <w:rPr>
          <w:rFonts w:hint="eastAsia" w:ascii="仿宋" w:hAnsi="仿宋" w:cs="仿宋"/>
          <w:b/>
          <w:color w:val="auto"/>
          <w:sz w:val="28"/>
          <w:szCs w:val="28"/>
          <w:highlight w:val="none"/>
        </w:rPr>
        <w:t>格式2</w:t>
      </w:r>
    </w:p>
    <w:p>
      <w:pPr>
        <w:jc w:val="center"/>
        <w:rPr>
          <w:rFonts w:hint="eastAsia" w:ascii="仿宋" w:hAnsi="仿宋" w:cs="仿宋"/>
          <w:b/>
          <w:bCs/>
          <w:color w:val="auto"/>
          <w:sz w:val="32"/>
          <w:szCs w:val="32"/>
          <w:highlight w:val="none"/>
        </w:rPr>
      </w:pPr>
      <w:r>
        <w:rPr>
          <w:rFonts w:hint="eastAsia" w:ascii="仿宋" w:hAnsi="仿宋" w:cs="仿宋"/>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
          <w:b/>
          <w:bCs/>
          <w:color w:val="auto"/>
          <w:sz w:val="32"/>
          <w:szCs w:val="32"/>
          <w:highlight w:val="none"/>
        </w:rPr>
        <w:t>投标文件的封皮</w:t>
      </w: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jc w:val="center"/>
        <w:rPr>
          <w:rFonts w:hint="eastAsia" w:ascii="仿宋" w:hAnsi="仿宋" w:cs="仿宋"/>
          <w:b/>
          <w:bCs/>
          <w:color w:val="auto"/>
          <w:sz w:val="52"/>
          <w:szCs w:val="52"/>
          <w:highlight w:val="none"/>
        </w:rPr>
      </w:pPr>
      <w:r>
        <w:rPr>
          <w:rFonts w:hint="eastAsia" w:ascii="仿宋" w:hAnsi="仿宋" w:cs="仿宋"/>
          <w:b/>
          <w:bCs/>
          <w:color w:val="auto"/>
          <w:sz w:val="52"/>
          <w:szCs w:val="52"/>
          <w:highlight w:val="none"/>
        </w:rPr>
        <w:t>投  标  文  件</w:t>
      </w: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r>
        <w:rPr>
          <w:rFonts w:hint="eastAsia" w:ascii="仿宋" w:hAnsi="仿宋" w:cs="仿宋"/>
          <w:color w:val="auto"/>
          <w:sz w:val="28"/>
          <w:szCs w:val="28"/>
          <w:highlight w:val="none"/>
        </w:rPr>
        <w:t>所投包号：第  包</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项目名称：</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项目编号：</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投标人名称 ：</w:t>
      </w:r>
    </w:p>
    <w:p>
      <w:pPr>
        <w:rPr>
          <w:rFonts w:hint="eastAsia" w:ascii="仿宋" w:hAnsi="仿宋" w:cs="仿宋"/>
          <w:color w:val="auto"/>
          <w:szCs w:val="28"/>
          <w:highlight w:val="none"/>
        </w:rPr>
      </w:pPr>
      <w:r>
        <w:rPr>
          <w:rFonts w:hint="eastAsia" w:ascii="仿宋" w:hAnsi="仿宋" w:cs="仿宋"/>
          <w:color w:val="auto"/>
          <w:sz w:val="28"/>
          <w:szCs w:val="28"/>
          <w:highlight w:val="none"/>
        </w:rPr>
        <w:br w:type="page"/>
      </w:r>
      <w:r>
        <w:rPr>
          <w:rFonts w:hint="eastAsia" w:ascii="仿宋" w:hAnsi="仿宋" w:cs="仿宋"/>
          <w:b/>
          <w:color w:val="auto"/>
          <w:sz w:val="28"/>
          <w:szCs w:val="28"/>
          <w:highlight w:val="none"/>
        </w:rPr>
        <w:t>格式3</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bookmarkStart w:id="86" w:name="_Toc2304_WPSOffice_Level2"/>
      <w:bookmarkStart w:id="87" w:name="_Toc21414_WPSOffice_Level2"/>
      <w:r>
        <w:rPr>
          <w:rFonts w:hint="eastAsia" w:ascii="仿宋" w:hAnsi="仿宋" w:cs="仿宋"/>
          <w:b/>
          <w:color w:val="auto"/>
          <w:sz w:val="32"/>
          <w:szCs w:val="32"/>
          <w:highlight w:val="none"/>
        </w:rPr>
        <w:t>目  录</w:t>
      </w:r>
      <w:bookmarkEnd w:id="86"/>
      <w:bookmarkEnd w:id="87"/>
    </w:p>
    <w:p>
      <w:pPr>
        <w:rPr>
          <w:rFonts w:hint="eastAsia" w:ascii="仿宋" w:hAnsi="仿宋" w:cs="仿宋"/>
          <w:color w:val="auto"/>
          <w:highlight w:val="none"/>
        </w:rPr>
      </w:pPr>
      <w:bookmarkStart w:id="88" w:name="_Toc7636_WPSOffice_Level2"/>
      <w:bookmarkStart w:id="89" w:name="_Toc30940_WPSOffice_Level2"/>
      <w:r>
        <w:rPr>
          <w:rFonts w:hint="eastAsia" w:ascii="仿宋" w:hAnsi="仿宋" w:cs="仿宋"/>
          <w:color w:val="auto"/>
          <w:highlight w:val="none"/>
        </w:rPr>
        <w:t>一、资格证明材料</w:t>
      </w:r>
      <w:bookmarkEnd w:id="88"/>
      <w:bookmarkEnd w:id="89"/>
    </w:p>
    <w:p>
      <w:pPr>
        <w:rPr>
          <w:rFonts w:hint="eastAsia" w:ascii="仿宋" w:hAnsi="仿宋" w:cs="仿宋"/>
          <w:color w:val="auto"/>
          <w:highlight w:val="none"/>
        </w:rPr>
      </w:pPr>
      <w:r>
        <w:rPr>
          <w:rFonts w:hint="eastAsia" w:ascii="仿宋" w:hAnsi="仿宋" w:cs="仿宋"/>
          <w:color w:val="auto"/>
          <w:highlight w:val="none"/>
        </w:rPr>
        <w:t>……</w:t>
      </w:r>
    </w:p>
    <w:p>
      <w:pPr>
        <w:rPr>
          <w:rFonts w:hint="eastAsia" w:ascii="仿宋" w:hAnsi="仿宋" w:cs="仿宋"/>
          <w:color w:val="auto"/>
          <w:highlight w:val="none"/>
        </w:rPr>
      </w:pPr>
      <w:bookmarkStart w:id="90" w:name="_Toc13950_WPSOffice_Level2"/>
      <w:bookmarkStart w:id="91" w:name="_Toc31702_WPSOffice_Level2"/>
      <w:r>
        <w:rPr>
          <w:rFonts w:hint="eastAsia" w:ascii="仿宋" w:hAnsi="仿宋" w:cs="仿宋"/>
          <w:color w:val="auto"/>
          <w:highlight w:val="none"/>
        </w:rPr>
        <w:t>二、符合性证明材料</w:t>
      </w:r>
      <w:bookmarkEnd w:id="90"/>
      <w:bookmarkEnd w:id="91"/>
    </w:p>
    <w:p>
      <w:pPr>
        <w:rPr>
          <w:rFonts w:hint="eastAsia" w:ascii="仿宋" w:hAnsi="仿宋" w:cs="仿宋"/>
          <w:color w:val="auto"/>
          <w:highlight w:val="none"/>
        </w:rPr>
      </w:pPr>
      <w:r>
        <w:rPr>
          <w:rFonts w:hint="eastAsia" w:ascii="仿宋" w:hAnsi="仿宋" w:cs="仿宋"/>
          <w:color w:val="auto"/>
          <w:highlight w:val="none"/>
        </w:rPr>
        <w:t>……</w:t>
      </w:r>
    </w:p>
    <w:p>
      <w:pPr>
        <w:rPr>
          <w:rFonts w:hint="eastAsia" w:ascii="仿宋" w:hAnsi="仿宋" w:cs="仿宋"/>
          <w:color w:val="auto"/>
          <w:highlight w:val="none"/>
        </w:rPr>
      </w:pPr>
      <w:bookmarkStart w:id="92" w:name="_Toc9090_WPSOffice_Level2"/>
      <w:bookmarkStart w:id="93" w:name="_Toc14854_WPSOffice_Level2"/>
      <w:r>
        <w:rPr>
          <w:rFonts w:hint="eastAsia" w:ascii="仿宋" w:hAnsi="仿宋" w:cs="仿宋"/>
          <w:color w:val="auto"/>
          <w:highlight w:val="none"/>
        </w:rPr>
        <w:t>三、其它材料</w:t>
      </w:r>
      <w:bookmarkEnd w:id="92"/>
      <w:bookmarkEnd w:id="93"/>
    </w:p>
    <w:p>
      <w:pPr>
        <w:rPr>
          <w:rFonts w:hint="eastAsia" w:ascii="仿宋" w:hAnsi="仿宋" w:cs="仿宋"/>
          <w:color w:val="auto"/>
          <w:szCs w:val="21"/>
          <w:highlight w:val="none"/>
        </w:rPr>
      </w:pPr>
      <w:r>
        <w:rPr>
          <w:rFonts w:hint="eastAsia" w:ascii="仿宋" w:hAnsi="仿宋" w:cs="仿宋"/>
          <w:color w:val="auto"/>
          <w:szCs w:val="21"/>
          <w:highlight w:val="none"/>
        </w:rPr>
        <w:t>……</w:t>
      </w: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highlight w:val="none"/>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其授权委托人(签字或盖章)：</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highlight w:val="none"/>
        </w:rPr>
        <w:br w:type="page"/>
      </w:r>
      <w:r>
        <w:rPr>
          <w:rFonts w:hint="eastAsia" w:ascii="仿宋" w:hAnsi="仿宋" w:cs="仿宋"/>
          <w:color w:val="auto"/>
          <w:szCs w:val="28"/>
          <w:highlight w:val="none"/>
        </w:rPr>
        <w:t>格式4</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bookmarkStart w:id="94" w:name="_Toc16924_WPSOffice_Level2"/>
      <w:bookmarkStart w:id="95" w:name="_Toc3401_WPSOffice_Level2"/>
      <w:r>
        <w:rPr>
          <w:rFonts w:hint="eastAsia" w:ascii="仿宋" w:hAnsi="仿宋" w:cs="仿宋"/>
          <w:b/>
          <w:color w:val="auto"/>
          <w:sz w:val="32"/>
          <w:szCs w:val="32"/>
          <w:highlight w:val="none"/>
        </w:rPr>
        <w:t>法定代表人（或非法人组织负责人）身份证明书</w:t>
      </w:r>
      <w:bookmarkEnd w:id="94"/>
      <w:bookmarkEnd w:id="95"/>
    </w:p>
    <w:p>
      <w:pPr>
        <w:spacing w:line="360" w:lineRule="auto"/>
        <w:ind w:firstLine="840" w:firstLineChars="400"/>
        <w:rPr>
          <w:rFonts w:hint="eastAsia" w:ascii="仿宋" w:hAnsi="仿宋" w:cs="仿宋"/>
          <w:color w:val="auto"/>
          <w:szCs w:val="21"/>
          <w:highlight w:val="none"/>
        </w:rPr>
      </w:pPr>
      <w:r>
        <w:rPr>
          <w:rFonts w:hint="eastAsia" w:ascii="仿宋" w:hAnsi="仿宋" w:cs="仿宋"/>
          <w:color w:val="auto"/>
          <w:szCs w:val="21"/>
          <w:highlight w:val="none"/>
        </w:rPr>
        <w:t>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，性别：</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，出生日期：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，现任职务：</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，系</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（投标人名称）的法定代表人（或非法人组织负责人）。</w:t>
      </w:r>
    </w:p>
    <w:p>
      <w:pPr>
        <w:rPr>
          <w:rFonts w:hint="eastAsia" w:ascii="仿宋" w:hAnsi="仿宋" w:cs="仿宋"/>
          <w:color w:val="auto"/>
          <w:szCs w:val="21"/>
          <w:highlight w:val="none"/>
        </w:rPr>
      </w:pPr>
    </w:p>
    <w:p>
      <w:pPr>
        <w:rPr>
          <w:rFonts w:hint="eastAsia" w:ascii="仿宋" w:hAnsi="仿宋" w:cs="仿宋"/>
          <w:color w:val="auto"/>
          <w:szCs w:val="21"/>
          <w:highlight w:val="none"/>
        </w:rPr>
      </w:pPr>
      <w:r>
        <w:rPr>
          <w:rFonts w:hint="eastAsia" w:ascii="仿宋" w:hAnsi="仿宋" w:cs="仿宋"/>
          <w:color w:val="auto"/>
          <w:szCs w:val="21"/>
          <w:highlight w:val="none"/>
        </w:rPr>
        <w:t>特此证明。</w:t>
      </w: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tbl>
      <w:tblPr>
        <w:tblStyle w:val="2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（※法定代表人（或非法人组织负责人）身份证正、反面复印件※）</w:t>
            </w:r>
          </w:p>
        </w:tc>
      </w:tr>
    </w:tbl>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spacing w:line="480" w:lineRule="auto"/>
        <w:rPr>
          <w:rFonts w:hint="eastAsia" w:ascii="仿宋" w:hAnsi="仿宋" w:cs="仿宋"/>
          <w:color w:val="auto"/>
          <w:highlight w:val="none"/>
          <w:u w:val="singl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rPr>
          <w:rFonts w:hint="eastAsia" w:ascii="仿宋" w:hAnsi="仿宋" w:cs="仿宋"/>
          <w:color w:val="auto"/>
          <w:highlight w:val="none"/>
        </w:rPr>
      </w:pP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1"/>
          <w:highlight w:val="none"/>
        </w:rPr>
        <w:br w:type="page"/>
      </w:r>
      <w:r>
        <w:rPr>
          <w:rFonts w:hint="eastAsia" w:ascii="仿宋" w:hAnsi="仿宋" w:cs="仿宋"/>
          <w:color w:val="auto"/>
          <w:szCs w:val="28"/>
          <w:highlight w:val="none"/>
        </w:rPr>
        <w:t>格式5</w:t>
      </w:r>
      <w:bookmarkStart w:id="96" w:name="_Toc21833_WPSOffice_Level2"/>
      <w:bookmarkStart w:id="97" w:name="_Toc122_WPSOffice_Level2"/>
    </w:p>
    <w:p>
      <w:pPr>
        <w:spacing w:before="319" w:beforeLines="100" w:after="319"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法定代表人（或非法人组织负责人）授权委托书</w:t>
      </w:r>
      <w:bookmarkEnd w:id="96"/>
      <w:bookmarkEnd w:id="97"/>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单位名称：</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法定代表人（或非法人组织负责人）姓名：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tabs>
          <w:tab w:val="left" w:pos="5205"/>
        </w:tabs>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住所地：</w:t>
      </w:r>
      <w:r>
        <w:rPr>
          <w:rFonts w:hint="eastAsia" w:ascii="仿宋" w:hAnsi="仿宋" w:cs="仿宋"/>
          <w:color w:val="auto"/>
          <w:szCs w:val="21"/>
          <w:highlight w:val="none"/>
          <w:u w:val="single"/>
        </w:rPr>
        <w:tab/>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 xml:space="preserve">人姓名：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工作单位：</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 xml:space="preserve">住址：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电话：</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现委托</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就</w:t>
      </w:r>
      <w:r>
        <w:rPr>
          <w:rFonts w:hint="eastAsia" w:ascii="仿宋" w:hAnsi="仿宋" w:cs="仿宋"/>
          <w:color w:val="auto"/>
          <w:szCs w:val="21"/>
          <w:highlight w:val="none"/>
          <w:u w:val="single"/>
        </w:rPr>
        <w:t>（项目编号、项目名称、包号）</w:t>
      </w:r>
      <w:r>
        <w:rPr>
          <w:rFonts w:hint="eastAsia" w:ascii="仿宋" w:hAnsi="仿宋" w:cs="仿宋"/>
          <w:color w:val="auto"/>
          <w:szCs w:val="21"/>
          <w:highlight w:val="none"/>
        </w:rPr>
        <w:t>投标中，以我单位名义处理一切与之有关的事务。</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本授权书于</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月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日签字或盖章生效，无转委托，特此声明。</w:t>
      </w:r>
    </w:p>
    <w:p>
      <w:pPr>
        <w:spacing w:line="360" w:lineRule="auto"/>
        <w:rPr>
          <w:rFonts w:hint="eastAsia" w:ascii="仿宋" w:hAnsi="仿宋" w:cs="仿宋"/>
          <w:color w:val="auto"/>
          <w:szCs w:val="21"/>
          <w:highlight w:val="none"/>
        </w:rPr>
      </w:pPr>
    </w:p>
    <w:tbl>
      <w:tblPr>
        <w:tblStyle w:val="2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人身份证正、反面复印件※）</w:t>
            </w:r>
          </w:p>
        </w:tc>
      </w:tr>
    </w:tbl>
    <w:p>
      <w:pPr>
        <w:spacing w:line="360" w:lineRule="auto"/>
        <w:rPr>
          <w:rFonts w:hint="eastAsia" w:ascii="仿宋" w:hAnsi="仿宋" w:cs="仿宋"/>
          <w:color w:val="auto"/>
          <w:szCs w:val="21"/>
          <w:highlight w:val="none"/>
        </w:rPr>
      </w:pP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委托人（加盖单位公章）：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法定代表人（或非法人组织负责人）（签字或盖章）：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人（签字或盖章）：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详细通讯地址：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邮政编码 ：</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 xml:space="preserve">传        真：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     话：</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rPr>
          <w:rFonts w:hint="eastAsia" w:ascii="仿宋" w:hAnsi="仿宋" w:cs="仿宋"/>
          <w:color w:val="auto"/>
          <w:szCs w:val="28"/>
          <w:highlight w:val="none"/>
        </w:rPr>
      </w:pPr>
      <w:r>
        <w:rPr>
          <w:rFonts w:hint="eastAsia" w:ascii="仿宋" w:hAnsi="仿宋" w:cs="仿宋"/>
          <w:color w:val="auto"/>
          <w:szCs w:val="28"/>
          <w:highlight w:val="none"/>
        </w:rPr>
        <w:br w:type="page"/>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格式6</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（格式自拟）</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p>
    <w:p>
      <w:pPr>
        <w:rPr>
          <w:rFonts w:hint="eastAsia" w:ascii="仿宋" w:hAnsi="仿宋" w:cs="仿宋"/>
          <w:color w:val="auto"/>
          <w:szCs w:val="28"/>
          <w:highlight w:val="none"/>
        </w:rPr>
      </w:pPr>
      <w:r>
        <w:rPr>
          <w:rFonts w:hint="eastAsia" w:ascii="仿宋" w:hAnsi="仿宋" w:cs="仿宋"/>
          <w:color w:val="auto"/>
          <w:szCs w:val="28"/>
          <w:highlight w:val="none"/>
        </w:rPr>
        <w:br w:type="page"/>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格式7</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bookmarkStart w:id="98" w:name="_Toc23728_WPSOffice_Level2"/>
      <w:bookmarkStart w:id="99" w:name="_Toc12037_WPSOffice_Level2"/>
      <w:r>
        <w:rPr>
          <w:rFonts w:hint="eastAsia" w:ascii="仿宋" w:hAnsi="仿宋" w:cs="仿宋"/>
          <w:b/>
          <w:color w:val="auto"/>
          <w:sz w:val="32"/>
          <w:szCs w:val="32"/>
          <w:highlight w:val="none"/>
        </w:rPr>
        <w:t>具备履行合同所必需的设备和专业技术能力声明函</w:t>
      </w:r>
      <w:bookmarkEnd w:id="98"/>
      <w:bookmarkEnd w:id="99"/>
    </w:p>
    <w:p>
      <w:pPr>
        <w:spacing w:before="319" w:beforeLines="100" w:after="319" w:afterLines="100" w:line="480" w:lineRule="exact"/>
        <w:ind w:right="630" w:rightChars="300"/>
        <w:jc w:val="center"/>
        <w:rPr>
          <w:rFonts w:hint="eastAsia" w:ascii="仿宋" w:hAnsi="仿宋" w:cs="仿宋"/>
          <w:color w:val="auto"/>
          <w:sz w:val="28"/>
          <w:szCs w:val="28"/>
          <w:highlight w:val="none"/>
        </w:rPr>
      </w:pPr>
      <w:bookmarkStart w:id="100" w:name="_Toc28831_WPSOffice_Level2"/>
      <w:bookmarkStart w:id="101" w:name="_Toc1917_WPSOffice_Level2"/>
      <w:r>
        <w:rPr>
          <w:rFonts w:hint="eastAsia" w:ascii="仿宋" w:hAnsi="仿宋" w:cs="仿宋"/>
          <w:color w:val="auto"/>
          <w:sz w:val="28"/>
          <w:szCs w:val="28"/>
          <w:highlight w:val="none"/>
        </w:rPr>
        <w:t>（格式自拟）</w:t>
      </w:r>
      <w:bookmarkEnd w:id="100"/>
      <w:bookmarkEnd w:id="101"/>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p>
    <w:p>
      <w:pPr>
        <w:adjustRightInd w:val="0"/>
        <w:snapToGrid w:val="0"/>
        <w:spacing w:line="360" w:lineRule="auto"/>
        <w:ind w:right="105" w:rightChars="50"/>
        <w:jc w:val="left"/>
        <w:rPr>
          <w:rFonts w:hint="eastAsia" w:ascii="仿宋" w:hAnsi="仿宋" w:cs="仿宋"/>
          <w:b/>
          <w:color w:val="auto"/>
          <w:sz w:val="28"/>
          <w:szCs w:val="28"/>
          <w:highlight w:val="none"/>
        </w:rPr>
      </w:pPr>
    </w:p>
    <w:p>
      <w:pPr>
        <w:widowControl/>
        <w:jc w:val="left"/>
        <w:rPr>
          <w:rFonts w:hint="eastAsia" w:ascii="仿宋" w:hAnsi="仿宋" w:cs="仿宋"/>
          <w:b/>
          <w:color w:val="auto"/>
          <w:sz w:val="28"/>
          <w:szCs w:val="28"/>
          <w:highlight w:val="none"/>
        </w:rPr>
      </w:pPr>
      <w:r>
        <w:rPr>
          <w:rFonts w:hint="eastAsia" w:ascii="仿宋" w:hAnsi="仿宋" w:cs="仿宋"/>
          <w:color w:val="auto"/>
          <w:szCs w:val="28"/>
          <w:highlight w:val="none"/>
        </w:rPr>
        <w:br w:type="page"/>
      </w:r>
    </w:p>
    <w:p>
      <w:pPr>
        <w:pStyle w:val="4"/>
        <w:adjustRightInd w:val="0"/>
        <w:snapToGrid w:val="0"/>
        <w:spacing w:before="0" w:after="0" w:line="240" w:lineRule="auto"/>
        <w:jc w:val="left"/>
        <w:rPr>
          <w:rFonts w:hint="eastAsia" w:ascii="仿宋" w:hAnsi="仿宋" w:cs="仿宋"/>
          <w:color w:val="auto"/>
          <w:highlight w:val="none"/>
        </w:rPr>
      </w:pPr>
      <w:r>
        <w:rPr>
          <w:rFonts w:hint="eastAsia" w:ascii="仿宋" w:hAnsi="仿宋" w:cs="仿宋"/>
          <w:color w:val="auto"/>
          <w:szCs w:val="28"/>
          <w:highlight w:val="none"/>
        </w:rPr>
        <w:t>格式8</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bookmarkStart w:id="102" w:name="_Toc11967_WPSOffice_Level2"/>
      <w:bookmarkStart w:id="103" w:name="_Toc7498_WPSOffice_Level2"/>
      <w:r>
        <w:rPr>
          <w:rFonts w:hint="eastAsia" w:ascii="仿宋" w:hAnsi="仿宋" w:cs="仿宋"/>
          <w:b/>
          <w:color w:val="auto"/>
          <w:sz w:val="32"/>
          <w:szCs w:val="32"/>
          <w:highlight w:val="none"/>
        </w:rPr>
        <w:t>参加政府采购活动前3年内在经营活动中没有重大违法记录的书面声明</w:t>
      </w:r>
      <w:bookmarkEnd w:id="102"/>
      <w:bookmarkEnd w:id="103"/>
    </w:p>
    <w:p>
      <w:pPr>
        <w:spacing w:line="360" w:lineRule="auto"/>
        <w:ind w:right="630" w:rightChars="300"/>
        <w:rPr>
          <w:rFonts w:hint="eastAsia" w:ascii="仿宋" w:hAnsi="仿宋" w:cs="仿宋"/>
          <w:b/>
          <w:color w:val="auto"/>
          <w:szCs w:val="21"/>
          <w:highlight w:val="none"/>
        </w:rPr>
      </w:pPr>
      <w:r>
        <w:rPr>
          <w:rFonts w:hint="eastAsia" w:ascii="仿宋" w:hAnsi="仿宋" w:cs="仿宋"/>
          <w:b/>
          <w:color w:val="auto"/>
          <w:szCs w:val="21"/>
          <w:highlight w:val="none"/>
          <w:u w:val="single"/>
        </w:rPr>
        <w:t xml:space="preserve">（采购人或采购代理机构名称） </w:t>
      </w:r>
      <w:r>
        <w:rPr>
          <w:rFonts w:hint="eastAsia" w:ascii="仿宋" w:hAnsi="仿宋" w:cs="仿宋"/>
          <w:b/>
          <w:color w:val="auto"/>
          <w:szCs w:val="21"/>
          <w:highlight w:val="none"/>
        </w:rPr>
        <w:t xml:space="preserve"> ：</w:t>
      </w:r>
    </w:p>
    <w:p>
      <w:pPr>
        <w:spacing w:line="360" w:lineRule="auto"/>
        <w:ind w:right="-21" w:rightChars="-10" w:firstLine="493" w:firstLineChars="235"/>
        <w:rPr>
          <w:rFonts w:hint="eastAsia" w:ascii="仿宋" w:hAnsi="仿宋" w:cs="仿宋"/>
          <w:color w:val="auto"/>
          <w:szCs w:val="21"/>
          <w:highlight w:val="none"/>
        </w:rPr>
      </w:pPr>
      <w:r>
        <w:rPr>
          <w:rFonts w:hint="eastAsia" w:ascii="仿宋" w:hAnsi="仿宋" w:cs="仿宋"/>
          <w:color w:val="auto"/>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hint="eastAsia" w:ascii="仿宋" w:hAnsi="仿宋" w:cs="仿宋"/>
          <w:color w:val="auto"/>
          <w:szCs w:val="21"/>
          <w:highlight w:val="none"/>
        </w:rPr>
      </w:pPr>
      <w:r>
        <w:rPr>
          <w:rFonts w:hint="eastAsia" w:ascii="仿宋" w:hAnsi="仿宋" w:cs="仿宋"/>
          <w:color w:val="auto"/>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hint="eastAsia" w:ascii="仿宋" w:hAnsi="仿宋" w:cs="仿宋"/>
          <w:color w:val="auto"/>
          <w:szCs w:val="21"/>
          <w:highlight w:val="none"/>
        </w:rPr>
      </w:pPr>
      <w:r>
        <w:rPr>
          <w:rFonts w:hint="eastAsia" w:ascii="仿宋" w:hAnsi="仿宋" w:cs="仿宋"/>
          <w:color w:val="auto"/>
          <w:szCs w:val="21"/>
          <w:highlight w:val="none"/>
        </w:rPr>
        <w:t>特此声明。</w:t>
      </w:r>
    </w:p>
    <w:p>
      <w:pPr>
        <w:spacing w:line="500" w:lineRule="exact"/>
        <w:ind w:right="1050" w:rightChars="500"/>
        <w:rPr>
          <w:rFonts w:hint="eastAsia" w:ascii="仿宋" w:hAnsi="仿宋" w:cs="仿宋"/>
          <w:color w:val="auto"/>
          <w:szCs w:val="21"/>
          <w:highlight w:val="none"/>
        </w:rPr>
      </w:pPr>
    </w:p>
    <w:p>
      <w:pPr>
        <w:spacing w:before="159" w:beforeLines="50" w:after="159" w:afterLines="50" w:line="400" w:lineRule="exact"/>
        <w:ind w:right="1050" w:rightChars="500"/>
        <w:rPr>
          <w:rFonts w:hint="eastAsia" w:ascii="仿宋" w:hAnsi="仿宋" w:cs="仿宋"/>
          <w:color w:val="auto"/>
          <w:szCs w:val="21"/>
          <w:highlight w:val="none"/>
        </w:rPr>
      </w:pPr>
    </w:p>
    <w:p>
      <w:pPr>
        <w:spacing w:before="159" w:beforeLines="50" w:after="159" w:afterLines="50" w:line="400" w:lineRule="exact"/>
        <w:ind w:right="1050" w:rightChars="500"/>
        <w:rPr>
          <w:rFonts w:hint="eastAsia" w:ascii="仿宋" w:hAnsi="仿宋" w:cs="仿宋"/>
          <w:color w:val="auto"/>
          <w:szCs w:val="21"/>
          <w:highlight w:val="none"/>
        </w:rPr>
      </w:pPr>
    </w:p>
    <w:p>
      <w:pPr>
        <w:spacing w:before="159" w:beforeLines="50" w:after="159" w:afterLines="50" w:line="400" w:lineRule="exact"/>
        <w:ind w:right="1050" w:rightChars="500"/>
        <w:rPr>
          <w:rFonts w:hint="eastAsia" w:ascii="仿宋" w:hAnsi="仿宋" w:cs="仿宋"/>
          <w:color w:val="auto"/>
          <w:szCs w:val="21"/>
          <w:highlight w:val="none"/>
        </w:rPr>
      </w:pPr>
    </w:p>
    <w:p>
      <w:pPr>
        <w:spacing w:line="360" w:lineRule="exact"/>
        <w:ind w:right="1050" w:rightChars="500"/>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br w:type="page"/>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格式9</w:t>
      </w:r>
    </w:p>
    <w:p>
      <w:pPr>
        <w:spacing w:before="319" w:beforeLines="100" w:after="319" w:afterLines="100" w:line="360" w:lineRule="auto"/>
        <w:ind w:right="-21" w:rightChars="-10"/>
        <w:jc w:val="center"/>
        <w:rPr>
          <w:rFonts w:hint="eastAsia" w:ascii="仿宋" w:hAnsi="仿宋" w:cs="仿宋"/>
          <w:b/>
          <w:color w:val="auto"/>
          <w:sz w:val="32"/>
          <w:szCs w:val="32"/>
          <w:highlight w:val="none"/>
        </w:rPr>
      </w:pPr>
      <w:bookmarkStart w:id="104" w:name="_Toc14782_WPSOffice_Level2"/>
      <w:bookmarkStart w:id="105" w:name="_Toc24841_WPSOffice_Level2"/>
      <w:r>
        <w:rPr>
          <w:rFonts w:hint="eastAsia" w:ascii="仿宋" w:hAnsi="仿宋" w:cs="仿宋"/>
          <w:b/>
          <w:color w:val="auto"/>
          <w:sz w:val="32"/>
          <w:szCs w:val="32"/>
          <w:highlight w:val="none"/>
        </w:rPr>
        <w:t>投标函</w:t>
      </w:r>
      <w:bookmarkEnd w:id="104"/>
      <w:bookmarkEnd w:id="105"/>
    </w:p>
    <w:p>
      <w:pPr>
        <w:adjustRightInd w:val="0"/>
        <w:snapToGrid w:val="0"/>
        <w:spacing w:line="360" w:lineRule="auto"/>
        <w:ind w:right="630" w:rightChars="300"/>
        <w:rPr>
          <w:rFonts w:hint="eastAsia" w:ascii="仿宋" w:hAnsi="仿宋" w:cs="仿宋"/>
          <w:color w:val="auto"/>
          <w:szCs w:val="21"/>
          <w:highlight w:val="none"/>
          <w:u w:val="single"/>
        </w:rPr>
      </w:pPr>
      <w:r>
        <w:rPr>
          <w:rFonts w:hint="eastAsia" w:ascii="仿宋" w:hAnsi="仿宋" w:cs="仿宋"/>
          <w:color w:val="auto"/>
          <w:szCs w:val="21"/>
          <w:highlight w:val="none"/>
          <w:u w:val="single"/>
        </w:rPr>
        <w:t>（采购人或采购代理机构）：</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 xml:space="preserve">    根据贵方</w:t>
      </w:r>
      <w:r>
        <w:rPr>
          <w:rFonts w:hint="eastAsia" w:ascii="仿宋" w:hAnsi="仿宋" w:cs="仿宋"/>
          <w:color w:val="auto"/>
          <w:szCs w:val="21"/>
          <w:highlight w:val="none"/>
          <w:u w:val="single"/>
        </w:rPr>
        <w:t>(项目名称)</w:t>
      </w:r>
      <w:r>
        <w:rPr>
          <w:rFonts w:hint="eastAsia" w:ascii="仿宋" w:hAnsi="仿宋" w:cs="仿宋"/>
          <w:color w:val="auto"/>
          <w:szCs w:val="21"/>
          <w:highlight w:val="none"/>
        </w:rPr>
        <w:t>项目的招标公告</w:t>
      </w:r>
      <w:r>
        <w:rPr>
          <w:rFonts w:hint="eastAsia" w:ascii="仿宋" w:hAnsi="仿宋" w:cs="仿宋"/>
          <w:color w:val="auto"/>
          <w:szCs w:val="21"/>
          <w:highlight w:val="none"/>
          <w:u w:val="single"/>
        </w:rPr>
        <w:t>(招标编号)</w:t>
      </w:r>
      <w:r>
        <w:rPr>
          <w:rFonts w:hint="eastAsia" w:ascii="仿宋" w:hAnsi="仿宋" w:cs="仿宋"/>
          <w:color w:val="auto"/>
          <w:szCs w:val="21"/>
          <w:highlight w:val="none"/>
        </w:rPr>
        <w:t>,签字代表</w:t>
      </w:r>
      <w:r>
        <w:rPr>
          <w:rFonts w:hint="eastAsia" w:ascii="仿宋" w:hAnsi="仿宋" w:cs="仿宋"/>
          <w:color w:val="auto"/>
          <w:szCs w:val="21"/>
          <w:highlight w:val="none"/>
          <w:u w:val="single"/>
        </w:rPr>
        <w:t>(姓名、职务)</w:t>
      </w:r>
      <w:r>
        <w:rPr>
          <w:rFonts w:hint="eastAsia" w:ascii="仿宋" w:hAnsi="仿宋" w:cs="仿宋"/>
          <w:color w:val="auto"/>
          <w:szCs w:val="21"/>
          <w:highlight w:val="none"/>
        </w:rPr>
        <w:t>经正式授权并代表投标人</w:t>
      </w:r>
      <w:r>
        <w:rPr>
          <w:rFonts w:hint="eastAsia" w:ascii="仿宋" w:hAnsi="仿宋" w:cs="仿宋"/>
          <w:color w:val="auto"/>
          <w:szCs w:val="21"/>
          <w:highlight w:val="none"/>
          <w:u w:val="single"/>
        </w:rPr>
        <w:t>（名称、地址）</w:t>
      </w:r>
      <w:r>
        <w:rPr>
          <w:rFonts w:hint="eastAsia" w:ascii="仿宋" w:hAnsi="仿宋" w:cs="仿宋"/>
          <w:color w:val="auto"/>
          <w:szCs w:val="21"/>
          <w:highlight w:val="none"/>
        </w:rPr>
        <w:t>提交下述文件正本</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份、副本</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份及电子文档</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据此，签字代表宣布同意如下：</w:t>
      </w:r>
    </w:p>
    <w:p>
      <w:pPr>
        <w:numPr>
          <w:ilvl w:val="0"/>
          <w:numId w:val="2"/>
        </w:num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本项目投标总价详见开标一览表。</w:t>
      </w:r>
    </w:p>
    <w:p>
      <w:pPr>
        <w:numPr>
          <w:ilvl w:val="0"/>
          <w:numId w:val="2"/>
        </w:num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本投标有效期为自递交投标文件截止之日起</w:t>
      </w:r>
      <w:r>
        <w:rPr>
          <w:rFonts w:hint="eastAsia" w:ascii="仿宋" w:hAnsi="仿宋" w:cs="仿宋"/>
          <w:color w:val="auto"/>
          <w:szCs w:val="21"/>
          <w:highlight w:val="none"/>
          <w:u w:val="single"/>
        </w:rPr>
        <w:t>90</w:t>
      </w:r>
      <w:r>
        <w:rPr>
          <w:rFonts w:hint="eastAsia" w:ascii="仿宋" w:hAnsi="仿宋" w:cs="仿宋"/>
          <w:color w:val="auto"/>
          <w:szCs w:val="21"/>
          <w:highlight w:val="none"/>
        </w:rPr>
        <w:t>日历日。</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（3）已详细审查全部招标文件，包括所有补充通知（如果有的话）。</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（4）在规定的开标时间后，遵守招标文件中有关保证金的规定。</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（8）按照招标文件的规定履行合同责任和义务。</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（9）我方承诺投标文件中的证明材料真实、合法、有效。</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其他事项：。</w:t>
      </w:r>
    </w:p>
    <w:p>
      <w:pPr>
        <w:adjustRightInd w:val="0"/>
        <w:snapToGrid w:val="0"/>
        <w:spacing w:line="360" w:lineRule="auto"/>
        <w:ind w:right="-21" w:rightChars="-10"/>
        <w:rPr>
          <w:rFonts w:hint="eastAsia" w:ascii="仿宋" w:hAnsi="仿宋" w:cs="仿宋"/>
          <w:color w:val="auto"/>
          <w:szCs w:val="21"/>
          <w:highlight w:val="none"/>
        </w:rPr>
      </w:pPr>
    </w:p>
    <w:p>
      <w:pPr>
        <w:adjustRightInd w:val="0"/>
        <w:snapToGrid w:val="0"/>
        <w:spacing w:line="360" w:lineRule="auto"/>
        <w:ind w:right="-21" w:rightChars="-10"/>
        <w:rPr>
          <w:rFonts w:hint="eastAsia" w:ascii="仿宋" w:hAnsi="仿宋" w:cs="仿宋"/>
          <w:color w:val="auto"/>
          <w:szCs w:val="21"/>
          <w:highlight w:val="none"/>
        </w:rPr>
      </w:pPr>
    </w:p>
    <w:p>
      <w:pPr>
        <w:adjustRightInd w:val="0"/>
        <w:snapToGrid w:val="0"/>
        <w:spacing w:line="360" w:lineRule="auto"/>
        <w:ind w:right="-21" w:rightChars="-10"/>
        <w:rPr>
          <w:rFonts w:hint="eastAsia" w:ascii="仿宋" w:hAnsi="仿宋" w:cs="仿宋"/>
          <w:color w:val="auto"/>
          <w:szCs w:val="21"/>
          <w:highlight w:val="none"/>
        </w:rPr>
      </w:pP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与本项目有关的一切往来通讯请寄</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 xml:space="preserve">地址：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传真：</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 xml:space="preserve">电话：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电子邮件：</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法定代表人（非法人组织负责人）或其授权委托人（签字或盖章）：</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投标人名称（加盖单位公章）：</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投标人开户银行（全称）：</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投标人银行账号：</w:t>
      </w:r>
      <w:r>
        <w:rPr>
          <w:rFonts w:hint="eastAsia" w:ascii="仿宋" w:hAnsi="仿宋" w:cs="仿宋"/>
          <w:color w:val="auto"/>
          <w:szCs w:val="21"/>
          <w:highlight w:val="none"/>
          <w:u w:val="single"/>
        </w:rPr>
        <w:t xml:space="preserve">                </w:t>
      </w:r>
    </w:p>
    <w:p>
      <w:pPr>
        <w:adjustRightInd w:val="0"/>
        <w:snapToGrid w:val="0"/>
        <w:spacing w:line="360" w:lineRule="auto"/>
        <w:ind w:right="1050" w:rightChars="500"/>
        <w:jc w:val="left"/>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adjustRightInd w:val="0"/>
        <w:snapToGrid w:val="0"/>
        <w:spacing w:line="360" w:lineRule="auto"/>
        <w:ind w:right="1050" w:rightChars="500"/>
        <w:jc w:val="left"/>
        <w:rPr>
          <w:rFonts w:hint="eastAsia" w:ascii="仿宋" w:hAnsi="仿宋" w:cs="仿宋"/>
          <w:color w:val="auto"/>
          <w:szCs w:val="21"/>
          <w:highlight w:val="none"/>
          <w:u w:val="single"/>
        </w:rPr>
      </w:pP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格式10</w:t>
      </w:r>
    </w:p>
    <w:p>
      <w:pPr>
        <w:adjustRightInd w:val="0"/>
        <w:snapToGrid w:val="0"/>
        <w:spacing w:before="319" w:beforeLines="100" w:after="319" w:afterLines="100" w:line="360" w:lineRule="auto"/>
        <w:ind w:right="105" w:rightChars="50"/>
        <w:jc w:val="center"/>
        <w:rPr>
          <w:rFonts w:hint="eastAsia" w:ascii="仿宋" w:hAnsi="仿宋" w:cs="仿宋"/>
          <w:b/>
          <w:bCs/>
          <w:color w:val="auto"/>
          <w:sz w:val="32"/>
          <w:szCs w:val="32"/>
          <w:highlight w:val="none"/>
        </w:rPr>
      </w:pPr>
      <w:bookmarkStart w:id="106" w:name="_Toc11267_WPSOffice_Level2"/>
      <w:bookmarkStart w:id="107" w:name="_Toc2673_WPSOffice_Level2"/>
      <w:r>
        <w:rPr>
          <w:rFonts w:hint="eastAsia" w:ascii="仿宋" w:hAnsi="仿宋" w:cs="仿宋"/>
          <w:b/>
          <w:bCs/>
          <w:color w:val="auto"/>
          <w:sz w:val="32"/>
          <w:szCs w:val="32"/>
          <w:highlight w:val="none"/>
        </w:rPr>
        <w:t>开标一览表</w:t>
      </w:r>
      <w:bookmarkEnd w:id="106"/>
      <w:bookmarkEnd w:id="107"/>
    </w:p>
    <w:p>
      <w:pPr>
        <w:adjustRightInd w:val="0"/>
        <w:snapToGrid w:val="0"/>
        <w:spacing w:line="360" w:lineRule="auto"/>
        <w:ind w:right="105" w:rightChars="50"/>
        <w:jc w:val="left"/>
        <w:rPr>
          <w:rFonts w:hint="eastAsia" w:ascii="仿宋" w:hAnsi="仿宋" w:eastAsia="仿宋" w:cs="仿宋"/>
          <w:b/>
          <w:bCs/>
          <w:color w:val="auto"/>
          <w:szCs w:val="21"/>
          <w:highlight w:val="none"/>
          <w:lang w:eastAsia="zh-CN"/>
        </w:rPr>
      </w:pPr>
      <w:r>
        <w:rPr>
          <w:rFonts w:hint="eastAsia" w:ascii="仿宋" w:hAnsi="仿宋" w:cs="仿宋"/>
          <w:b/>
          <w:bCs/>
          <w:color w:val="auto"/>
          <w:szCs w:val="21"/>
          <w:highlight w:val="none"/>
        </w:rPr>
        <w:t>包号：001                                                      报价单位：</w:t>
      </w:r>
      <w:r>
        <w:rPr>
          <w:rFonts w:hint="eastAsia" w:ascii="仿宋" w:hAnsi="仿宋" w:cs="仿宋"/>
          <w:b/>
          <w:bCs/>
          <w:color w:val="auto"/>
          <w:szCs w:val="21"/>
          <w:highlight w:val="none"/>
          <w:lang w:val="en-US" w:eastAsia="zh-CN"/>
        </w:rPr>
        <w:t>%</w:t>
      </w:r>
    </w:p>
    <w:tbl>
      <w:tblPr>
        <w:tblStyle w:val="2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lang w:eastAsia="zh-CN"/>
              </w:rPr>
              <w:t>项目</w:t>
            </w:r>
            <w:r>
              <w:rPr>
                <w:rFonts w:hint="eastAsia" w:ascii="仿宋" w:hAnsi="仿宋" w:cs="仿宋"/>
                <w:color w:val="auto"/>
                <w:szCs w:val="21"/>
                <w:highlight w:val="none"/>
              </w:rPr>
              <w:t>名称</w:t>
            </w:r>
          </w:p>
        </w:tc>
        <w:tc>
          <w:tcPr>
            <w:tcW w:w="2373" w:type="dxa"/>
            <w:vAlign w:val="center"/>
          </w:tcPr>
          <w:p>
            <w:pPr>
              <w:adjustRightInd w:val="0"/>
              <w:snapToGrid w:val="0"/>
              <w:ind w:left="-54" w:leftChars="-26" w:right="-46" w:rightChars="-22"/>
              <w:jc w:val="center"/>
              <w:rPr>
                <w:rFonts w:hint="eastAsia" w:ascii="仿宋" w:hAnsi="仿宋" w:eastAsia="仿宋" w:cs="仿宋"/>
                <w:color w:val="auto"/>
                <w:szCs w:val="21"/>
                <w:highlight w:val="none"/>
                <w:lang w:eastAsia="zh-CN"/>
              </w:rPr>
            </w:pPr>
            <w:r>
              <w:rPr>
                <w:rFonts w:hint="eastAsia" w:ascii="仿宋" w:hAnsi="仿宋" w:cs="仿宋"/>
                <w:color w:val="auto"/>
                <w:szCs w:val="21"/>
                <w:highlight w:val="none"/>
              </w:rPr>
              <w:t>投标</w:t>
            </w:r>
            <w:r>
              <w:rPr>
                <w:rFonts w:hint="eastAsia" w:ascii="仿宋" w:hAnsi="仿宋" w:cs="仿宋"/>
                <w:color w:val="auto"/>
                <w:szCs w:val="21"/>
                <w:highlight w:val="none"/>
                <w:lang w:eastAsia="zh-CN"/>
              </w:rPr>
              <w:t>总价</w:t>
            </w:r>
          </w:p>
        </w:tc>
        <w:tc>
          <w:tcPr>
            <w:tcW w:w="1309"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投标保证金</w:t>
            </w:r>
          </w:p>
        </w:tc>
        <w:tc>
          <w:tcPr>
            <w:tcW w:w="1109"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交货时间</w:t>
            </w:r>
          </w:p>
        </w:tc>
        <w:tc>
          <w:tcPr>
            <w:tcW w:w="1252"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交货地点</w:t>
            </w:r>
          </w:p>
        </w:tc>
        <w:tc>
          <w:tcPr>
            <w:tcW w:w="951"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4" w:leftChars="-26" w:right="-46" w:rightChars="-22"/>
              <w:jc w:val="center"/>
              <w:rPr>
                <w:rFonts w:hint="eastAsia" w:ascii="仿宋" w:hAnsi="仿宋" w:eastAsia="仿宋" w:cs="仿宋"/>
                <w:color w:val="auto"/>
                <w:szCs w:val="21"/>
                <w:highlight w:val="none"/>
                <w:lang w:eastAsia="zh-CN"/>
              </w:rPr>
            </w:pPr>
            <w:r>
              <w:rPr>
                <w:rFonts w:hint="eastAsia" w:ascii="仿宋" w:hAnsi="仿宋" w:cs="仿宋"/>
                <w:color w:val="auto"/>
                <w:szCs w:val="21"/>
                <w:highlight w:val="none"/>
                <w:lang w:eastAsia="zh-CN"/>
              </w:rPr>
              <w:t>殡葬用品采购</w:t>
            </w:r>
          </w:p>
        </w:tc>
        <w:tc>
          <w:tcPr>
            <w:tcW w:w="2373" w:type="dxa"/>
            <w:vAlign w:val="center"/>
          </w:tcPr>
          <w:p>
            <w:pPr>
              <w:adjustRightInd w:val="0"/>
              <w:snapToGrid w:val="0"/>
              <w:ind w:left="-54" w:leftChars="-26" w:right="-46" w:rightChars="-22"/>
              <w:jc w:val="left"/>
              <w:rPr>
                <w:rFonts w:hint="default" w:ascii="仿宋" w:hAnsi="仿宋" w:eastAsia="仿宋" w:cs="仿宋"/>
                <w:color w:val="auto"/>
                <w:szCs w:val="21"/>
                <w:highlight w:val="none"/>
                <w:u w:val="none"/>
                <w:lang w:val="en-US" w:eastAsia="zh-CN"/>
              </w:rPr>
            </w:pPr>
            <w:r>
              <w:rPr>
                <w:rFonts w:hint="eastAsia" w:ascii="仿宋" w:hAnsi="仿宋" w:cs="仿宋"/>
                <w:color w:val="auto"/>
                <w:szCs w:val="21"/>
                <w:highlight w:val="none"/>
              </w:rPr>
              <w:t>小写：</w:t>
            </w:r>
            <w:r>
              <w:rPr>
                <w:rFonts w:hint="eastAsia" w:ascii="仿宋" w:hAnsi="仿宋" w:cs="仿宋"/>
                <w:color w:val="auto"/>
                <w:szCs w:val="21"/>
                <w:highlight w:val="none"/>
                <w:u w:val="single"/>
                <w:lang w:val="en-US" w:eastAsia="zh-CN"/>
              </w:rPr>
              <w:t xml:space="preserve">           </w:t>
            </w:r>
            <w:r>
              <w:rPr>
                <w:rFonts w:hint="eastAsia" w:ascii="仿宋" w:hAnsi="仿宋" w:cs="仿宋"/>
                <w:color w:val="auto"/>
                <w:szCs w:val="21"/>
                <w:highlight w:val="none"/>
                <w:u w:val="none"/>
                <w:lang w:val="en-US" w:eastAsia="zh-CN"/>
              </w:rPr>
              <w:t>%</w:t>
            </w:r>
          </w:p>
          <w:p>
            <w:pPr>
              <w:adjustRightInd w:val="0"/>
              <w:snapToGrid w:val="0"/>
              <w:ind w:left="-54" w:leftChars="-26" w:right="-46" w:rightChars="-22"/>
              <w:jc w:val="left"/>
              <w:rPr>
                <w:rFonts w:hint="default" w:ascii="仿宋" w:hAnsi="仿宋" w:eastAsia="仿宋" w:cs="仿宋"/>
                <w:color w:val="auto"/>
                <w:szCs w:val="21"/>
                <w:highlight w:val="none"/>
                <w:u w:val="single"/>
                <w:lang w:val="en-US" w:eastAsia="zh-CN"/>
              </w:rPr>
            </w:pPr>
            <w:r>
              <w:rPr>
                <w:rFonts w:hint="eastAsia" w:ascii="仿宋" w:hAnsi="仿宋" w:cs="仿宋"/>
                <w:color w:val="auto"/>
                <w:szCs w:val="21"/>
                <w:highlight w:val="none"/>
              </w:rPr>
              <w:t>大写：</w:t>
            </w:r>
            <w:r>
              <w:rPr>
                <w:rFonts w:hint="eastAsia" w:ascii="仿宋" w:hAnsi="仿宋" w:cs="仿宋"/>
                <w:color w:val="auto"/>
                <w:szCs w:val="21"/>
                <w:highlight w:val="none"/>
                <w:lang w:eastAsia="zh-CN"/>
              </w:rPr>
              <w:t>百分之</w:t>
            </w:r>
            <w:r>
              <w:rPr>
                <w:rFonts w:hint="eastAsia" w:ascii="仿宋" w:hAnsi="仿宋" w:cs="仿宋"/>
                <w:color w:val="auto"/>
                <w:szCs w:val="21"/>
                <w:highlight w:val="none"/>
                <w:u w:val="single"/>
                <w:lang w:val="en-US" w:eastAsia="zh-CN"/>
              </w:rPr>
              <w:t xml:space="preserve">     </w:t>
            </w:r>
          </w:p>
        </w:tc>
        <w:tc>
          <w:tcPr>
            <w:tcW w:w="1309" w:type="dxa"/>
            <w:vAlign w:val="center"/>
          </w:tcPr>
          <w:p>
            <w:pPr>
              <w:adjustRightInd w:val="0"/>
              <w:snapToGrid w:val="0"/>
              <w:ind w:left="-54" w:leftChars="-26" w:right="-46" w:rightChars="-22"/>
              <w:jc w:val="center"/>
              <w:rPr>
                <w:rFonts w:hint="eastAsia" w:ascii="仿宋" w:hAnsi="仿宋" w:eastAsia="仿宋" w:cs="仿宋"/>
                <w:color w:val="auto"/>
                <w:szCs w:val="21"/>
                <w:highlight w:val="none"/>
                <w:lang w:eastAsia="zh-CN"/>
              </w:rPr>
            </w:pPr>
            <w:r>
              <w:rPr>
                <w:rFonts w:hint="eastAsia" w:ascii="仿宋" w:hAnsi="仿宋" w:cs="仿宋"/>
                <w:color w:val="auto"/>
                <w:szCs w:val="21"/>
                <w:highlight w:val="none"/>
                <w:lang w:eastAsia="zh-CN"/>
              </w:rPr>
              <w:t>不收取</w:t>
            </w:r>
          </w:p>
        </w:tc>
        <w:tc>
          <w:tcPr>
            <w:tcW w:w="1109" w:type="dxa"/>
            <w:vAlign w:val="center"/>
          </w:tcPr>
          <w:p>
            <w:pPr>
              <w:adjustRightInd w:val="0"/>
              <w:snapToGrid w:val="0"/>
              <w:ind w:left="-54"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lang w:val="en-US" w:eastAsia="zh-CN"/>
              </w:rPr>
              <w:t>3年，按采购人要求分批次进行供货</w:t>
            </w:r>
            <w:r>
              <w:rPr>
                <w:rFonts w:hint="eastAsia" w:ascii="仿宋" w:hAnsi="仿宋" w:cs="仿宋"/>
                <w:bCs/>
                <w:color w:val="auto"/>
                <w:szCs w:val="21"/>
                <w:highlight w:val="none"/>
              </w:rPr>
              <w:t>。</w:t>
            </w:r>
          </w:p>
        </w:tc>
        <w:tc>
          <w:tcPr>
            <w:tcW w:w="1252" w:type="dxa"/>
            <w:vAlign w:val="center"/>
          </w:tcPr>
          <w:p>
            <w:pPr>
              <w:adjustRightInd w:val="0"/>
              <w:snapToGrid w:val="0"/>
              <w:ind w:left="-54" w:leftChars="-26" w:right="-46" w:rightChars="-22"/>
              <w:jc w:val="center"/>
              <w:rPr>
                <w:rFonts w:hint="eastAsia" w:ascii="仿宋" w:hAnsi="仿宋" w:eastAsia="仿宋" w:cs="仿宋"/>
                <w:color w:val="auto"/>
                <w:szCs w:val="21"/>
                <w:highlight w:val="none"/>
                <w:lang w:eastAsia="zh-CN"/>
              </w:rPr>
            </w:pPr>
            <w:r>
              <w:rPr>
                <w:rFonts w:hint="eastAsia" w:ascii="仿宋" w:hAnsi="仿宋" w:cs="仿宋"/>
                <w:color w:val="auto"/>
                <w:szCs w:val="21"/>
                <w:highlight w:val="none"/>
                <w:lang w:eastAsia="zh-CN"/>
              </w:rPr>
              <w:t>采购人指定地点</w:t>
            </w:r>
          </w:p>
        </w:tc>
        <w:tc>
          <w:tcPr>
            <w:tcW w:w="951" w:type="dxa"/>
            <w:vAlign w:val="center"/>
          </w:tcPr>
          <w:p>
            <w:pPr>
              <w:adjustRightInd w:val="0"/>
              <w:snapToGrid w:val="0"/>
              <w:ind w:left="-54" w:leftChars="-26" w:right="-46" w:rightChars="-22"/>
              <w:jc w:val="center"/>
              <w:rPr>
                <w:rFonts w:hint="eastAsia" w:ascii="仿宋" w:hAnsi="仿宋" w:cs="仿宋"/>
                <w:color w:val="auto"/>
                <w:szCs w:val="21"/>
                <w:highlight w:val="none"/>
              </w:rPr>
            </w:pPr>
          </w:p>
        </w:tc>
      </w:tr>
    </w:tbl>
    <w:p>
      <w:pPr>
        <w:adjustRightInd w:val="0"/>
        <w:snapToGrid w:val="0"/>
        <w:spacing w:line="360" w:lineRule="auto"/>
        <w:ind w:right="105" w:rightChars="50" w:firstLine="420" w:firstLineChars="200"/>
        <w:jc w:val="left"/>
        <w:rPr>
          <w:rFonts w:hint="eastAsia" w:ascii="仿宋" w:hAnsi="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注：</w:t>
      </w:r>
      <w:r>
        <w:rPr>
          <w:rFonts w:hint="eastAsia" w:ascii="仿宋" w:hAnsi="仿宋" w:cs="仿宋"/>
          <w:color w:val="auto"/>
          <w:szCs w:val="21"/>
          <w:highlight w:val="none"/>
          <w:lang w:val="en-US" w:eastAsia="zh-CN"/>
        </w:rPr>
        <w:t>1.</w:t>
      </w:r>
      <w:r>
        <w:rPr>
          <w:rFonts w:hint="eastAsia" w:ascii="仿宋" w:hAnsi="仿宋" w:cs="仿宋"/>
          <w:color w:val="auto"/>
          <w:szCs w:val="21"/>
          <w:highlight w:val="none"/>
        </w:rPr>
        <w:t>此表中，投标总价应和分项报价表的总价相一致。</w:t>
      </w:r>
    </w:p>
    <w:p>
      <w:pPr>
        <w:numPr>
          <w:ilvl w:val="0"/>
          <w:numId w:val="0"/>
        </w:numPr>
        <w:adjustRightInd w:val="0"/>
        <w:snapToGrid w:val="0"/>
        <w:spacing w:line="360" w:lineRule="auto"/>
        <w:ind w:right="105" w:rightChars="50"/>
        <w:jc w:val="left"/>
        <w:rPr>
          <w:rFonts w:hint="eastAsia" w:ascii="仿宋" w:hAnsi="仿宋" w:cs="仿宋"/>
          <w:b/>
          <w:bCs/>
          <w:color w:val="auto"/>
          <w:szCs w:val="21"/>
          <w:highlight w:val="none"/>
          <w:lang w:val="en-US" w:eastAsia="zh-CN"/>
        </w:rPr>
      </w:pPr>
      <w:r>
        <w:rPr>
          <w:rFonts w:hint="eastAsia" w:ascii="仿宋" w:hAnsi="仿宋" w:cs="仿宋"/>
          <w:b/>
          <w:bCs/>
          <w:color w:val="auto"/>
          <w:szCs w:val="21"/>
          <w:highlight w:val="none"/>
          <w:lang w:val="en-US" w:eastAsia="zh-CN"/>
        </w:rPr>
        <w:t>2.本项目以给定产品单价最高限价为基准进行折扣报价，如供应商所报投标比率为70%，实际结算单价=给定产品单价最高限价*70%。</w:t>
      </w:r>
    </w:p>
    <w:p>
      <w:pPr>
        <w:numPr>
          <w:ilvl w:val="0"/>
          <w:numId w:val="0"/>
        </w:numPr>
        <w:adjustRightInd w:val="0"/>
        <w:snapToGrid w:val="0"/>
        <w:spacing w:line="360" w:lineRule="auto"/>
        <w:ind w:right="105" w:rightChars="50"/>
        <w:jc w:val="left"/>
        <w:rPr>
          <w:rFonts w:hint="default" w:ascii="仿宋" w:hAnsi="仿宋" w:cs="仿宋"/>
          <w:b/>
          <w:bCs/>
          <w:color w:val="auto"/>
          <w:szCs w:val="21"/>
          <w:highlight w:val="none"/>
          <w:lang w:val="en-US" w:eastAsia="zh-CN"/>
        </w:rPr>
      </w:pPr>
      <w:r>
        <w:rPr>
          <w:rFonts w:hint="eastAsia" w:ascii="仿宋" w:hAnsi="仿宋" w:cs="仿宋"/>
          <w:b/>
          <w:bCs/>
          <w:color w:val="auto"/>
          <w:szCs w:val="21"/>
          <w:highlight w:val="none"/>
          <w:lang w:val="en-US" w:eastAsia="zh-CN"/>
        </w:rPr>
        <w:t>3.所有产品均报同一折扣。</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spacing w:line="480" w:lineRule="auto"/>
        <w:ind w:right="1050" w:rightChars="500"/>
        <w:jc w:val="left"/>
        <w:rPr>
          <w:rFonts w:hint="eastAsia" w:ascii="仿宋" w:hAnsi="仿宋" w:cs="仿宋"/>
          <w:color w:val="auto"/>
          <w:szCs w:val="21"/>
          <w:highlight w:val="none"/>
          <w:u w:val="singl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br w:type="page"/>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格式11</w:t>
      </w:r>
    </w:p>
    <w:p>
      <w:pPr>
        <w:adjustRightInd w:val="0"/>
        <w:snapToGrid w:val="0"/>
        <w:spacing w:before="319" w:beforeLines="100" w:after="319" w:afterLines="100" w:line="360" w:lineRule="auto"/>
        <w:ind w:right="105" w:rightChars="50"/>
        <w:jc w:val="center"/>
        <w:rPr>
          <w:rFonts w:hint="eastAsia" w:ascii="仿宋" w:hAnsi="仿宋" w:cs="仿宋"/>
          <w:b/>
          <w:bCs/>
          <w:color w:val="auto"/>
          <w:sz w:val="32"/>
          <w:szCs w:val="32"/>
          <w:highlight w:val="none"/>
        </w:rPr>
      </w:pPr>
      <w:bookmarkStart w:id="108" w:name="_Toc28271_WPSOffice_Level2"/>
      <w:bookmarkStart w:id="109" w:name="_Toc16044_WPSOffice_Level2"/>
      <w:r>
        <w:rPr>
          <w:rFonts w:hint="eastAsia" w:ascii="仿宋" w:hAnsi="仿宋" w:cs="仿宋"/>
          <w:b/>
          <w:bCs/>
          <w:color w:val="auto"/>
          <w:sz w:val="32"/>
          <w:szCs w:val="32"/>
          <w:highlight w:val="none"/>
        </w:rPr>
        <w:t>分项报价表</w:t>
      </w:r>
      <w:bookmarkEnd w:id="108"/>
      <w:bookmarkEnd w:id="109"/>
    </w:p>
    <w:p>
      <w:pPr>
        <w:adjustRightInd w:val="0"/>
        <w:snapToGrid w:val="0"/>
        <w:spacing w:line="360" w:lineRule="auto"/>
        <w:ind w:right="105" w:rightChars="50"/>
        <w:jc w:val="left"/>
        <w:rPr>
          <w:rFonts w:hint="eastAsia" w:ascii="仿宋" w:hAnsi="仿宋" w:eastAsia="仿宋" w:cs="仿宋"/>
          <w:b/>
          <w:bCs/>
          <w:color w:val="auto"/>
          <w:szCs w:val="21"/>
          <w:highlight w:val="none"/>
          <w:lang w:eastAsia="zh-CN"/>
        </w:rPr>
      </w:pPr>
      <w:r>
        <w:rPr>
          <w:rFonts w:hint="eastAsia" w:ascii="仿宋" w:hAnsi="仿宋" w:cs="仿宋"/>
          <w:b/>
          <w:bCs/>
          <w:color w:val="auto"/>
          <w:szCs w:val="21"/>
          <w:highlight w:val="none"/>
        </w:rPr>
        <w:t>包号：001                                                      报价单位：</w:t>
      </w:r>
      <w:r>
        <w:rPr>
          <w:rFonts w:hint="eastAsia" w:ascii="仿宋" w:hAnsi="仿宋" w:cs="仿宋"/>
          <w:b/>
          <w:bCs/>
          <w:color w:val="auto"/>
          <w:szCs w:val="21"/>
          <w:highlight w:val="none"/>
          <w:lang w:val="en-US" w:eastAsia="zh-CN"/>
        </w:rPr>
        <w:t>%</w:t>
      </w:r>
    </w:p>
    <w:tbl>
      <w:tblPr>
        <w:tblStyle w:val="25"/>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20"/>
        <w:gridCol w:w="1095"/>
        <w:gridCol w:w="1380"/>
        <w:gridCol w:w="1470"/>
        <w:gridCol w:w="160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1920"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产品名称</w:t>
            </w:r>
          </w:p>
        </w:tc>
        <w:tc>
          <w:tcPr>
            <w:tcW w:w="1095"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品牌</w:t>
            </w:r>
          </w:p>
        </w:tc>
        <w:tc>
          <w:tcPr>
            <w:tcW w:w="1380"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型号</w:t>
            </w:r>
          </w:p>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规格</w:t>
            </w:r>
          </w:p>
        </w:tc>
        <w:tc>
          <w:tcPr>
            <w:tcW w:w="1470"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原产地</w:t>
            </w:r>
          </w:p>
        </w:tc>
        <w:tc>
          <w:tcPr>
            <w:tcW w:w="1605"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制造商名称</w:t>
            </w:r>
          </w:p>
        </w:tc>
        <w:tc>
          <w:tcPr>
            <w:tcW w:w="625" w:type="dxa"/>
            <w:vAlign w:val="center"/>
          </w:tcPr>
          <w:p>
            <w:pPr>
              <w:adjustRightInd w:val="0"/>
              <w:snapToGrid w:val="0"/>
              <w:ind w:left="-96"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7" w:type="dxa"/>
            <w:vAlign w:val="center"/>
          </w:tcPr>
          <w:p>
            <w:pPr>
              <w:adjustRightInd w:val="0"/>
              <w:snapToGrid w:val="0"/>
              <w:ind w:left="-96" w:leftChars="-46" w:right="-63" w:rightChars="-30"/>
              <w:jc w:val="center"/>
              <w:rPr>
                <w:rFonts w:hint="eastAsia" w:ascii="仿宋" w:hAnsi="仿宋" w:cs="仿宋"/>
                <w:color w:val="auto"/>
                <w:szCs w:val="21"/>
                <w:highlight w:val="none"/>
              </w:rPr>
            </w:pPr>
          </w:p>
        </w:tc>
        <w:tc>
          <w:tcPr>
            <w:tcW w:w="192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09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38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470"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160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c>
          <w:tcPr>
            <w:tcW w:w="625" w:type="dxa"/>
            <w:vAlign w:val="center"/>
          </w:tcPr>
          <w:p>
            <w:pPr>
              <w:adjustRightInd w:val="0"/>
              <w:snapToGrid w:val="0"/>
              <w:ind w:left="-96" w:leftChars="-46" w:right="-63" w:rightChars="-30"/>
              <w:jc w:val="center"/>
              <w:rPr>
                <w:rFonts w:hint="eastAsia" w:ascii="仿宋" w:hAnsi="仿宋" w:cs="仿宋"/>
                <w:b/>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07" w:type="dxa"/>
            <w:gridSpan w:val="2"/>
            <w:vAlign w:val="center"/>
          </w:tcPr>
          <w:p>
            <w:pPr>
              <w:adjustRightInd w:val="0"/>
              <w:snapToGrid w:val="0"/>
              <w:ind w:left="-96" w:leftChars="-46" w:right="-63" w:rightChars="-30"/>
              <w:jc w:val="center"/>
              <w:rPr>
                <w:rFonts w:hint="eastAsia" w:ascii="仿宋" w:hAnsi="仿宋" w:eastAsia="仿宋" w:cs="仿宋"/>
                <w:b/>
                <w:color w:val="auto"/>
                <w:sz w:val="44"/>
                <w:szCs w:val="21"/>
                <w:highlight w:val="none"/>
                <w:lang w:eastAsia="zh-CN"/>
              </w:rPr>
            </w:pPr>
            <w:r>
              <w:rPr>
                <w:rFonts w:hint="eastAsia" w:ascii="仿宋" w:hAnsi="仿宋" w:cs="仿宋"/>
                <w:color w:val="auto"/>
                <w:szCs w:val="21"/>
                <w:highlight w:val="none"/>
                <w:lang w:eastAsia="zh-CN"/>
              </w:rPr>
              <w:t>总价（折扣）</w:t>
            </w:r>
          </w:p>
        </w:tc>
        <w:tc>
          <w:tcPr>
            <w:tcW w:w="6175" w:type="dxa"/>
            <w:gridSpan w:val="5"/>
            <w:vAlign w:val="center"/>
          </w:tcPr>
          <w:p>
            <w:pPr>
              <w:adjustRightInd w:val="0"/>
              <w:snapToGrid w:val="0"/>
              <w:ind w:left="-54" w:leftChars="-26" w:right="-46" w:rightChars="-22"/>
              <w:jc w:val="left"/>
              <w:rPr>
                <w:rFonts w:hint="default" w:ascii="仿宋" w:hAnsi="仿宋" w:eastAsia="仿宋" w:cs="仿宋"/>
                <w:color w:val="auto"/>
                <w:szCs w:val="21"/>
                <w:highlight w:val="none"/>
                <w:u w:val="none"/>
                <w:lang w:val="en-US" w:eastAsia="zh-CN"/>
              </w:rPr>
            </w:pPr>
            <w:r>
              <w:rPr>
                <w:rFonts w:hint="eastAsia" w:ascii="仿宋" w:hAnsi="仿宋" w:cs="仿宋"/>
                <w:color w:val="auto"/>
                <w:szCs w:val="21"/>
                <w:highlight w:val="none"/>
              </w:rPr>
              <w:t>小写：</w:t>
            </w:r>
            <w:r>
              <w:rPr>
                <w:rFonts w:hint="eastAsia" w:ascii="仿宋" w:hAnsi="仿宋" w:cs="仿宋"/>
                <w:color w:val="auto"/>
                <w:szCs w:val="21"/>
                <w:highlight w:val="none"/>
                <w:u w:val="single"/>
                <w:lang w:val="en-US" w:eastAsia="zh-CN"/>
              </w:rPr>
              <w:t xml:space="preserve">           </w:t>
            </w:r>
            <w:r>
              <w:rPr>
                <w:rFonts w:hint="eastAsia" w:ascii="仿宋" w:hAnsi="仿宋" w:cs="仿宋"/>
                <w:color w:val="auto"/>
                <w:szCs w:val="21"/>
                <w:highlight w:val="none"/>
                <w:u w:val="none"/>
                <w:lang w:val="en-US" w:eastAsia="zh-CN"/>
              </w:rPr>
              <w:t>%</w:t>
            </w:r>
          </w:p>
          <w:p>
            <w:pPr>
              <w:adjustRightInd w:val="0"/>
              <w:snapToGrid w:val="0"/>
              <w:ind w:left="-96" w:leftChars="-46" w:right="-63" w:rightChars="-30"/>
              <w:jc w:val="both"/>
              <w:rPr>
                <w:rFonts w:hint="eastAsia" w:ascii="仿宋" w:hAnsi="仿宋" w:cs="仿宋"/>
                <w:b/>
                <w:color w:val="auto"/>
                <w:sz w:val="44"/>
                <w:szCs w:val="21"/>
                <w:highlight w:val="none"/>
              </w:rPr>
            </w:pPr>
            <w:r>
              <w:rPr>
                <w:rFonts w:hint="eastAsia" w:ascii="仿宋" w:hAnsi="仿宋" w:cs="仿宋"/>
                <w:color w:val="auto"/>
                <w:szCs w:val="21"/>
                <w:highlight w:val="none"/>
              </w:rPr>
              <w:t>大写：</w:t>
            </w:r>
            <w:r>
              <w:rPr>
                <w:rFonts w:hint="eastAsia" w:ascii="仿宋" w:hAnsi="仿宋" w:cs="仿宋"/>
                <w:color w:val="auto"/>
                <w:szCs w:val="21"/>
                <w:highlight w:val="none"/>
                <w:lang w:eastAsia="zh-CN"/>
              </w:rPr>
              <w:t>百分之</w:t>
            </w:r>
            <w:r>
              <w:rPr>
                <w:rFonts w:hint="eastAsia" w:ascii="仿宋" w:hAnsi="仿宋" w:cs="仿宋"/>
                <w:color w:val="auto"/>
                <w:szCs w:val="21"/>
                <w:highlight w:val="none"/>
                <w:u w:val="single"/>
                <w:lang w:val="en-US" w:eastAsia="zh-CN"/>
              </w:rPr>
              <w:t xml:space="preserve">     </w:t>
            </w:r>
          </w:p>
        </w:tc>
      </w:tr>
    </w:tbl>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注：此表中，总价应和开标一览表的投标总价相一致。</w:t>
      </w:r>
    </w:p>
    <w:p>
      <w:pPr>
        <w:adjustRightInd w:val="0"/>
        <w:snapToGrid w:val="0"/>
        <w:spacing w:line="480" w:lineRule="auto"/>
        <w:rPr>
          <w:rFonts w:hint="eastAsia" w:ascii="仿宋" w:hAnsi="仿宋" w:cs="仿宋"/>
          <w:color w:val="auto"/>
          <w:highlight w:val="none"/>
        </w:rPr>
      </w:pPr>
    </w:p>
    <w:p>
      <w:pPr>
        <w:adjustRightInd w:val="0"/>
        <w:snapToGrid w:val="0"/>
        <w:spacing w:line="480" w:lineRule="auto"/>
        <w:rPr>
          <w:rFonts w:hint="eastAsia" w:ascii="仿宋" w:hAnsi="仿宋" w:cs="仿宋"/>
          <w:color w:val="auto"/>
          <w:highlight w:val="none"/>
        </w:rPr>
      </w:pPr>
    </w:p>
    <w:p>
      <w:pPr>
        <w:adjustRightInd w:val="0"/>
        <w:snapToGrid w:val="0"/>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adjustRightInd w:val="0"/>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adjustRightInd w:val="0"/>
        <w:snapToGrid w:val="0"/>
        <w:ind w:right="105" w:rightChars="50"/>
        <w:jc w:val="left"/>
        <w:rPr>
          <w:rFonts w:hint="eastAsia" w:ascii="仿宋" w:hAnsi="仿宋" w:cs="仿宋"/>
          <w:color w:val="auto"/>
          <w:szCs w:val="21"/>
          <w:highlight w:val="none"/>
        </w:rPr>
        <w:sectPr>
          <w:pgSz w:w="11906" w:h="16838"/>
          <w:pgMar w:top="1440" w:right="1803" w:bottom="1440" w:left="1803" w:header="851" w:footer="992" w:gutter="0"/>
          <w:cols w:space="720" w:num="1"/>
          <w:docGrid w:type="linesAndChars" w:linePitch="319" w:charSpace="0"/>
        </w:sectPr>
      </w:pPr>
      <w:r>
        <w:rPr>
          <w:rFonts w:hint="eastAsia" w:ascii="仿宋" w:hAnsi="仿宋" w:cs="仿宋"/>
          <w:color w:val="auto"/>
          <w:szCs w:val="21"/>
          <w:highlight w:val="none"/>
        </w:rPr>
        <w:t>日期：</w:t>
      </w:r>
      <w:r>
        <w:rPr>
          <w:rFonts w:hint="eastAsia" w:ascii="仿宋" w:hAnsi="仿宋" w:cs="仿宋"/>
          <w:color w:val="auto"/>
          <w:szCs w:val="21"/>
          <w:highlight w:val="none"/>
          <w:u w:val="single"/>
        </w:rPr>
        <w:t xml:space="preserve">                </w:t>
      </w:r>
    </w:p>
    <w:p>
      <w:pPr>
        <w:adjustRightInd w:val="0"/>
        <w:snapToGrid w:val="0"/>
        <w:ind w:right="105" w:rightChars="50"/>
        <w:outlineLvl w:val="1"/>
        <w:rPr>
          <w:rFonts w:hint="eastAsia" w:ascii="仿宋" w:hAnsi="仿宋" w:cs="仿宋"/>
          <w:b/>
          <w:bCs/>
          <w:color w:val="auto"/>
          <w:sz w:val="28"/>
          <w:szCs w:val="40"/>
          <w:highlight w:val="none"/>
        </w:rPr>
      </w:pPr>
      <w:bookmarkStart w:id="110" w:name="_Toc9235_WPSOffice_Level2"/>
      <w:bookmarkStart w:id="111" w:name="_Toc31555_WPSOffice_Level2"/>
      <w:r>
        <w:rPr>
          <w:rFonts w:hint="eastAsia" w:ascii="仿宋" w:hAnsi="仿宋" w:cs="仿宋"/>
          <w:b/>
          <w:bCs/>
          <w:color w:val="auto"/>
          <w:sz w:val="28"/>
          <w:szCs w:val="40"/>
          <w:highlight w:val="none"/>
        </w:rPr>
        <w:t xml:space="preserve">格式12                       </w:t>
      </w:r>
    </w:p>
    <w:p>
      <w:pPr>
        <w:adjustRightInd w:val="0"/>
        <w:snapToGrid w:val="0"/>
        <w:ind w:right="105" w:rightChars="50"/>
        <w:jc w:val="center"/>
        <w:outlineLvl w:val="1"/>
        <w:rPr>
          <w:rFonts w:hint="eastAsia" w:ascii="仿宋" w:hAnsi="仿宋" w:cs="仿宋"/>
          <w:color w:val="auto"/>
          <w:highlight w:val="none"/>
        </w:rPr>
      </w:pPr>
      <w:r>
        <w:rPr>
          <w:rFonts w:hint="eastAsia" w:ascii="仿宋" w:hAnsi="仿宋" w:cs="仿宋"/>
          <w:b/>
          <w:bCs/>
          <w:color w:val="auto"/>
          <w:sz w:val="32"/>
          <w:szCs w:val="32"/>
          <w:highlight w:val="none"/>
        </w:rPr>
        <w:t>技术规格偏离表</w:t>
      </w:r>
    </w:p>
    <w:bookmarkEnd w:id="110"/>
    <w:bookmarkEnd w:id="111"/>
    <w:tbl>
      <w:tblPr>
        <w:tblStyle w:val="25"/>
        <w:tblpPr w:leftFromText="180" w:rightFromText="180" w:vertAnchor="text" w:horzAnchor="page" w:tblpX="1436" w:tblpY="410"/>
        <w:tblOverlap w:val="never"/>
        <w:tblW w:w="14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800"/>
        <w:gridCol w:w="2985"/>
        <w:gridCol w:w="2340"/>
        <w:gridCol w:w="4180"/>
        <w:gridCol w:w="845"/>
        <w:gridCol w:w="75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5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bookmarkStart w:id="112" w:name="_Hlk120382986"/>
            <w:r>
              <w:rPr>
                <w:rFonts w:hint="eastAsia" w:ascii="仿宋" w:hAnsi="仿宋" w:eastAsia="仿宋" w:cs="仿宋"/>
                <w:color w:val="auto"/>
                <w:sz w:val="21"/>
                <w:szCs w:val="21"/>
                <w:highlight w:val="none"/>
              </w:rPr>
              <w:t>包号：001</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包</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殡葬用品</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0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招标文件要求</w:t>
            </w:r>
          </w:p>
          <w:p>
            <w:pPr>
              <w:keepNext w:val="0"/>
              <w:keepLines w:val="0"/>
              <w:pageBreakBefore w:val="0"/>
              <w:widowControl w:val="0"/>
              <w:kinsoku/>
              <w:wordWrap/>
              <w:overflowPunct/>
              <w:topLinePunct w:val="0"/>
              <w:autoSpaceDE/>
              <w:autoSpaceDN/>
              <w:bidi w:val="0"/>
              <w:spacing w:line="240" w:lineRule="auto"/>
              <w:ind w:firstLine="422"/>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重要提示：</w:t>
            </w:r>
            <w:r>
              <w:rPr>
                <w:rFonts w:hint="eastAsia" w:ascii="仿宋" w:hAnsi="仿宋" w:eastAsia="仿宋" w:cs="仿宋"/>
                <w:b/>
                <w:color w:val="auto"/>
                <w:sz w:val="21"/>
                <w:szCs w:val="21"/>
                <w:highlight w:val="none"/>
                <w:lang w:eastAsia="zh-CN"/>
              </w:rPr>
              <w:t>本项目技术要求</w:t>
            </w:r>
            <w:r>
              <w:rPr>
                <w:rFonts w:hint="eastAsia" w:ascii="仿宋" w:hAnsi="仿宋" w:eastAsia="仿宋" w:cs="仿宋"/>
                <w:b/>
                <w:color w:val="auto"/>
                <w:sz w:val="21"/>
                <w:szCs w:val="21"/>
                <w:highlight w:val="none"/>
              </w:rPr>
              <w:t>不得负偏离，如果负偏离，则投标文件无效。</w:t>
            </w:r>
          </w:p>
        </w:tc>
        <w:tc>
          <w:tcPr>
            <w:tcW w:w="4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w:t>
            </w:r>
          </w:p>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响应内容</w:t>
            </w: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偏离程度</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偏离说明</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产品名称</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材质</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产品规格</w:t>
            </w:r>
          </w:p>
        </w:tc>
        <w:tc>
          <w:tcPr>
            <w:tcW w:w="4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花艺围棺（高档）</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鲜花：  菊花750支，银柳50捆，花艺造形为梯形</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绢花：高档仿真造型花4盆</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长×宽（4.45×3.95m）</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花艺围棺（中档）</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鲜花： 菊花500支，</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绢花：高档仿真造型花17盆</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长×宽（3.95×3.45m）</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尸床垫（耐火垫）</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陶瓷纤维布</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长×宽（200×62㎝）</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拣灰手套</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防烫麻手套</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长×宽（25×14㎝）</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金砖</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耐高温砖</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长×宽×高（23×18×14㎝）</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防尘罩、垫</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亚麻布、毛绒毯，布</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长×宽（38×29㎝）</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骨灰袋</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牛筋布</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长×宽×高（29×16×28㎝）</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8</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包布</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双面绣花布</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长×宽（100×100㎝）</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跪拜垫</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纤维毯，布</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长×宽（71×62㎝）</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纳骨托盘</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不锈钢</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长×宽×高（47×36×7㎝）</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11</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玉石碑1</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长×宽×高（9.5×4×16.5㎝）</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12</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玉石碑2</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长×宽×高（9.5×5×16.5㎝）</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13</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玉石碑3</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长×宽×高（12×8×20㎝）</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14</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玉石碑4</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长×宽×高（9.5×4×16.5㎝）</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15</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杂木或科技木类</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骨灰盒2</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 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17</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骨灰盒3</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 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18</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骨灰盒4</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红铁檀</w:t>
            </w:r>
            <w:r>
              <w:rPr>
                <w:rFonts w:hint="eastAsia" w:ascii="仿宋" w:hAnsi="仿宋" w:eastAsia="仿宋" w:cs="仿宋"/>
                <w:color w:val="auto"/>
                <w:sz w:val="21"/>
                <w:szCs w:val="21"/>
                <w:highlight w:val="none"/>
              </w:rPr>
              <w:t>（学名：翼红铁木）</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19</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骨灰盒5</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亚花梨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非洲花梨木</w:t>
            </w:r>
            <w:r>
              <w:rPr>
                <w:rFonts w:hint="eastAsia" w:ascii="仿宋" w:hAnsi="仿宋" w:eastAsia="仿宋" w:cs="仿宋"/>
                <w:color w:val="auto"/>
                <w:sz w:val="21"/>
                <w:szCs w:val="21"/>
                <w:highlight w:val="none"/>
              </w:rPr>
              <w:t>）、龙凤檀（学名：香二翅豆）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蓝田玉</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骨灰盒6</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w:t>
            </w:r>
            <w:r>
              <w:rPr>
                <w:rFonts w:hint="eastAsia" w:ascii="仿宋" w:hAnsi="仿宋" w:eastAsia="仿宋" w:cs="仿宋"/>
                <w:color w:val="auto"/>
                <w:sz w:val="21"/>
                <w:szCs w:val="21"/>
                <w:highlight w:val="none"/>
                <w:lang w:val="en-US" w:eastAsia="zh-CN"/>
              </w:rPr>
              <w:t>巴花</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古夷苏木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蓝田玉</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21</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骨灰盒7</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非洲花梨木（学名：刺猬紫檀）、风车木（学名：黑紫檀）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22</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骨灰盒8</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23</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骨灰盒9</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24</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骨灰盒10</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大果紫檀（学名：缅甸花梨木）、</w:t>
            </w:r>
            <w:r>
              <w:rPr>
                <w:rFonts w:hint="eastAsia" w:ascii="仿宋" w:hAnsi="仿宋" w:eastAsia="仿宋" w:cs="仿宋"/>
                <w:color w:val="auto"/>
                <w:sz w:val="21"/>
                <w:szCs w:val="21"/>
                <w:highlight w:val="none"/>
                <w:lang w:val="en-US" w:eastAsia="zh-CN"/>
              </w:rPr>
              <w:t>血檀（学名：染料紫檀）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25</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骨灰盒11</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黑酸枝（学名：阔叶黄檀）</w:t>
            </w:r>
            <w:r>
              <w:rPr>
                <w:rFonts w:hint="eastAsia" w:ascii="仿宋" w:hAnsi="仿宋" w:eastAsia="仿宋" w:cs="仿宋"/>
                <w:color w:val="auto"/>
                <w:sz w:val="21"/>
                <w:szCs w:val="21"/>
                <w:highlight w:val="none"/>
                <w:lang w:val="en-US" w:eastAsia="zh-CN"/>
              </w:rPr>
              <w:t>红酸枝</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微凹黄檀</w:t>
            </w:r>
            <w:r>
              <w:rPr>
                <w:rFonts w:hint="eastAsia" w:ascii="仿宋" w:hAnsi="仿宋" w:eastAsia="仿宋" w:cs="仿宋"/>
                <w:color w:val="auto"/>
                <w:sz w:val="21"/>
                <w:szCs w:val="21"/>
                <w:highlight w:val="none"/>
              </w:rPr>
              <w:t>）</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26</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骨灰盒12</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微凹黄檀（学名：红酸枝）、东非黑黄檀（学名：紫光檀）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27</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骨灰盒13</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微凹黄檀（学名：红酸枝）、东非黑黄檀（学名：紫光檀）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28</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骨灰盒14</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杂木或硬木</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骨灰盒15</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30</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骨灰盒16</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亚花梨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非洲花梨木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南美酸枝</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重蚁木</w:t>
            </w:r>
            <w:r>
              <w:rPr>
                <w:rFonts w:hint="eastAsia" w:ascii="仿宋" w:hAnsi="仿宋" w:eastAsia="仿宋" w:cs="仿宋"/>
                <w:color w:val="auto"/>
                <w:sz w:val="21"/>
                <w:szCs w:val="21"/>
                <w:highlight w:val="none"/>
              </w:rPr>
              <w:t>）</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31</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骨灰盒17</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非洲花梨木（学名：刺猬紫檀）、风车木（学名：黑紫檀）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w:t>
            </w:r>
            <w:r>
              <w:rPr>
                <w:rFonts w:hint="eastAsia" w:ascii="仿宋" w:hAnsi="仿宋" w:eastAsia="仿宋" w:cs="仿宋"/>
                <w:color w:val="auto"/>
                <w:sz w:val="21"/>
                <w:szCs w:val="21"/>
                <w:highlight w:val="none"/>
                <w:lang w:val="en-US" w:eastAsia="zh-CN"/>
              </w:rPr>
              <w:t>8</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纸棺1</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纸质（2.0cm≥棺身纸质厚≥1.0cm）不含外饰厚度，</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承重力≥150公斤</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注：棺身包括（棺底及四个侧面）</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185</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≤长≤190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底宽≤52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≤大头宽≤60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大头高≤42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≤小头宽≤52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小头高≤37</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（该尺寸为纸棺内径规格）</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外观贴纸：采用“奠”字，供货时由采购人确定</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纸棺2</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纸质（2.0cm≥棺身纸质厚≥1.0cm）不含外饰厚度，</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承重力≥150公斤</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注：棺身包括（棺底及四个侧面）</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185</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≤长≤190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底宽≤52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≤大头宽≤60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大头高≤42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≤小头宽≤52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小头高≤37</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（该尺寸为纸棺内径规格）</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外加红色绸缎</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9"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纸棺3</w:t>
            </w:r>
          </w:p>
        </w:tc>
        <w:tc>
          <w:tcPr>
            <w:tcW w:w="298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纸质（2.0cm≥棺身纸质厚≥1.0cm）不含外饰厚度，</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承重力≥150公斤</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注：棺身包括（棺底及四个侧面）</w:t>
            </w:r>
          </w:p>
        </w:tc>
        <w:tc>
          <w:tcPr>
            <w:tcW w:w="2340"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185</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≤长≤190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底宽≤52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≤大头宽≤60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大头高≤42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≤小头宽≤52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小头高≤37</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（该尺寸为纸棺内径规格）</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加真丝绒带花边，内衬绸布</w:t>
            </w:r>
          </w:p>
        </w:tc>
        <w:tc>
          <w:tcPr>
            <w:tcW w:w="0" w:type="auto"/>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c>
          <w:tcPr>
            <w:tcW w:w="0" w:type="auto"/>
          </w:tcPr>
          <w:p>
            <w:pPr>
              <w:keepNext w:val="0"/>
              <w:keepLines w:val="0"/>
              <w:pageBreakBefore w:val="0"/>
              <w:widowControl w:val="0"/>
              <w:tabs>
                <w:tab w:val="left" w:pos="0"/>
              </w:tabs>
              <w:kinsoku/>
              <w:wordWrap/>
              <w:overflowPunct/>
              <w:topLinePunct w:val="0"/>
              <w:autoSpaceDE/>
              <w:autoSpaceDN/>
              <w:bidi w:val="0"/>
              <w:spacing w:line="240" w:lineRule="auto"/>
              <w:jc w:val="center"/>
              <w:textAlignment w:val="auto"/>
              <w:rPr>
                <w:rFonts w:hint="eastAsia" w:ascii="仿宋" w:hAnsi="仿宋" w:eastAsia="仿宋" w:cs="仿宋"/>
                <w:color w:val="auto"/>
                <w:sz w:val="21"/>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b/>
          <w:color w:val="auto"/>
          <w:szCs w:val="21"/>
          <w:highlight w:val="none"/>
        </w:rPr>
      </w:pPr>
      <w:r>
        <w:rPr>
          <w:b/>
          <w:color w:val="auto"/>
          <w:szCs w:val="21"/>
          <w:highlight w:val="none"/>
        </w:rPr>
        <w:t>填表要求：</w:t>
      </w:r>
    </w:p>
    <w:p>
      <w:pPr>
        <w:adjustRightInd w:val="0"/>
        <w:snapToGrid w:val="0"/>
        <w:spacing w:line="360" w:lineRule="auto"/>
        <w:rPr>
          <w:color w:val="auto"/>
          <w:szCs w:val="21"/>
          <w:highlight w:val="none"/>
        </w:rPr>
      </w:pPr>
      <w:r>
        <w:rPr>
          <w:color w:val="auto"/>
          <w:szCs w:val="21"/>
          <w:highlight w:val="none"/>
        </w:rPr>
        <w:t>1．“投标文件响应内容”一栏由投标人按照招标文件要求填写并进行逐项响应。</w:t>
      </w:r>
    </w:p>
    <w:p>
      <w:pPr>
        <w:adjustRightInd w:val="0"/>
        <w:snapToGrid w:val="0"/>
        <w:spacing w:line="360" w:lineRule="auto"/>
        <w:rPr>
          <w:color w:val="auto"/>
          <w:szCs w:val="21"/>
          <w:highlight w:val="none"/>
        </w:rPr>
      </w:pPr>
      <w:r>
        <w:rPr>
          <w:color w:val="auto"/>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color w:val="auto"/>
          <w:szCs w:val="21"/>
          <w:highlight w:val="none"/>
        </w:rPr>
      </w:pPr>
      <w:r>
        <w:rPr>
          <w:color w:val="auto"/>
          <w:szCs w:val="21"/>
          <w:highlight w:val="none"/>
        </w:rPr>
        <w:t>3．“偏离说明”一栏由投标人对偏离的情况做详细说明。</w:t>
      </w:r>
    </w:p>
    <w:p>
      <w:pPr>
        <w:snapToGrid w:val="0"/>
        <w:spacing w:line="480" w:lineRule="auto"/>
        <w:rPr>
          <w:color w:val="auto"/>
          <w:highlight w:val="none"/>
        </w:rPr>
      </w:pPr>
      <w:r>
        <w:rPr>
          <w:color w:val="auto"/>
          <w:highlight w:val="none"/>
        </w:rPr>
        <w:t>投标人名称（加盖单位公章）：</w:t>
      </w:r>
    </w:p>
    <w:p>
      <w:pPr>
        <w:snapToGrid w:val="0"/>
        <w:spacing w:line="480" w:lineRule="auto"/>
        <w:rPr>
          <w:color w:val="auto"/>
          <w:highlight w:val="none"/>
        </w:rPr>
      </w:pPr>
      <w:r>
        <w:rPr>
          <w:color w:val="auto"/>
          <w:highlight w:val="none"/>
        </w:rPr>
        <w:t>法定代表人（或</w:t>
      </w:r>
      <w:r>
        <w:rPr>
          <w:color w:val="auto"/>
          <w:szCs w:val="21"/>
          <w:highlight w:val="none"/>
        </w:rPr>
        <w:t>非法人组织负责人）或</w:t>
      </w:r>
      <w:r>
        <w:rPr>
          <w:color w:val="auto"/>
          <w:highlight w:val="none"/>
        </w:rPr>
        <w:t>其</w:t>
      </w:r>
      <w:r>
        <w:rPr>
          <w:color w:val="auto"/>
          <w:szCs w:val="21"/>
          <w:highlight w:val="none"/>
        </w:rPr>
        <w:t>授权</w:t>
      </w:r>
      <w:r>
        <w:rPr>
          <w:color w:val="auto"/>
          <w:highlight w:val="none"/>
        </w:rPr>
        <w:t>委托</w:t>
      </w:r>
      <w:r>
        <w:rPr>
          <w:color w:val="auto"/>
          <w:szCs w:val="21"/>
          <w:highlight w:val="none"/>
        </w:rPr>
        <w:t>人</w:t>
      </w:r>
      <w:r>
        <w:rPr>
          <w:color w:val="auto"/>
          <w:highlight w:val="none"/>
        </w:rPr>
        <w:t>(签字或盖章)：</w:t>
      </w:r>
    </w:p>
    <w:p>
      <w:pPr>
        <w:adjustRightInd w:val="0"/>
        <w:snapToGrid w:val="0"/>
        <w:spacing w:line="480" w:lineRule="auto"/>
        <w:ind w:right="105" w:rightChars="50"/>
        <w:jc w:val="left"/>
        <w:rPr>
          <w:rFonts w:hint="eastAsia" w:ascii="仿宋" w:hAnsi="仿宋" w:cs="仿宋"/>
          <w:color w:val="auto"/>
          <w:highlight w:val="none"/>
        </w:rPr>
        <w:sectPr>
          <w:pgSz w:w="16838" w:h="11906" w:orient="landscape"/>
          <w:pgMar w:top="1803" w:right="1440" w:bottom="1803" w:left="1440" w:header="851" w:footer="992" w:gutter="0"/>
          <w:cols w:space="0" w:num="1"/>
          <w:docGrid w:type="linesAndChars" w:linePitch="319" w:charSpace="0"/>
        </w:sectPr>
      </w:pPr>
      <w:r>
        <w:rPr>
          <w:color w:val="auto"/>
          <w:highlight w:val="none"/>
        </w:rPr>
        <w:t>日期：</w:t>
      </w:r>
    </w:p>
    <w:p>
      <w:pPr>
        <w:jc w:val="left"/>
        <w:rPr>
          <w:rFonts w:hint="eastAsia" w:ascii="仿宋" w:hAnsi="仿宋" w:cs="仿宋"/>
          <w:b/>
          <w:bCs/>
          <w:color w:val="auto"/>
          <w:sz w:val="28"/>
          <w:szCs w:val="40"/>
          <w:highlight w:val="none"/>
        </w:rPr>
      </w:pPr>
      <w:r>
        <w:rPr>
          <w:rFonts w:hint="eastAsia" w:ascii="仿宋" w:hAnsi="仿宋" w:cs="仿宋"/>
          <w:b/>
          <w:bCs/>
          <w:color w:val="auto"/>
          <w:sz w:val="28"/>
          <w:szCs w:val="40"/>
          <w:highlight w:val="none"/>
        </w:rPr>
        <w:t>格式13</w:t>
      </w:r>
    </w:p>
    <w:p>
      <w:pPr>
        <w:adjustRightInd w:val="0"/>
        <w:snapToGrid w:val="0"/>
        <w:ind w:right="105" w:rightChars="50"/>
        <w:jc w:val="center"/>
        <w:rPr>
          <w:rFonts w:hint="eastAsia" w:ascii="仿宋" w:hAnsi="仿宋" w:cs="仿宋"/>
          <w:color w:val="auto"/>
          <w:highlight w:val="none"/>
        </w:rPr>
      </w:pPr>
      <w:bookmarkStart w:id="113" w:name="_Toc4431_WPSOffice_Level2"/>
      <w:bookmarkStart w:id="114" w:name="_Toc8488_WPSOffice_Level2"/>
      <w:r>
        <w:rPr>
          <w:rFonts w:hint="eastAsia" w:ascii="仿宋" w:hAnsi="仿宋" w:cs="仿宋"/>
          <w:b/>
          <w:bCs/>
          <w:color w:val="auto"/>
          <w:sz w:val="32"/>
          <w:szCs w:val="32"/>
          <w:highlight w:val="none"/>
        </w:rPr>
        <w:t>商务条款偏离表</w:t>
      </w:r>
      <w:bookmarkEnd w:id="113"/>
      <w:bookmarkEnd w:id="114"/>
    </w:p>
    <w:p>
      <w:pPr>
        <w:adjustRightInd w:val="0"/>
        <w:snapToGrid w:val="0"/>
        <w:spacing w:line="360" w:lineRule="auto"/>
        <w:ind w:right="105" w:rightChars="50"/>
        <w:jc w:val="left"/>
        <w:rPr>
          <w:rFonts w:hint="eastAsia" w:ascii="仿宋" w:hAnsi="仿宋" w:cs="仿宋"/>
          <w:color w:val="auto"/>
          <w:highlight w:val="none"/>
        </w:rPr>
      </w:pPr>
      <w:r>
        <w:rPr>
          <w:rFonts w:hint="eastAsia" w:ascii="仿宋" w:hAnsi="仿宋" w:cs="仿宋"/>
          <w:b/>
          <w:bCs/>
          <w:color w:val="auto"/>
          <w:szCs w:val="21"/>
          <w:highlight w:val="none"/>
        </w:rPr>
        <w:t>包号： 001</w:t>
      </w:r>
    </w:p>
    <w:tbl>
      <w:tblPr>
        <w:tblStyle w:val="25"/>
        <w:tblpPr w:leftFromText="180" w:rightFromText="180" w:vertAnchor="text" w:horzAnchor="page" w:tblpX="1597" w:tblpY="391"/>
        <w:tblOverlap w:val="never"/>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65"/>
        <w:gridCol w:w="1042"/>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48" w:rightChars="-23"/>
              <w:jc w:val="center"/>
              <w:textAlignment w:val="auto"/>
              <w:rPr>
                <w:rFonts w:hint="eastAsia" w:ascii="仿宋" w:hAnsi="仿宋" w:eastAsia="仿宋" w:cs="仿宋"/>
                <w:color w:val="auto"/>
                <w:sz w:val="21"/>
                <w:szCs w:val="21"/>
                <w:highlight w:val="none"/>
              </w:rPr>
            </w:pPr>
            <w:bookmarkStart w:id="115" w:name="_Hlk120383110"/>
            <w:r>
              <w:rPr>
                <w:rFonts w:hint="eastAsia" w:ascii="仿宋" w:hAnsi="仿宋" w:eastAsia="仿宋" w:cs="仿宋"/>
                <w:color w:val="auto"/>
                <w:sz w:val="21"/>
                <w:szCs w:val="21"/>
                <w:highlight w:val="none"/>
              </w:rPr>
              <w:t>序号</w:t>
            </w:r>
          </w:p>
        </w:tc>
        <w:tc>
          <w:tcPr>
            <w:tcW w:w="5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73" w:rightChars="-3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招标文件的商务条款</w:t>
            </w:r>
          </w:p>
          <w:p>
            <w:pPr>
              <w:keepNext w:val="0"/>
              <w:keepLines w:val="0"/>
              <w:pageBreakBefore w:val="0"/>
              <w:widowControl w:val="0"/>
              <w:kinsoku/>
              <w:wordWrap/>
              <w:overflowPunct/>
              <w:topLinePunct w:val="0"/>
              <w:autoSpaceDE/>
              <w:autoSpaceDN/>
              <w:bidi w:val="0"/>
              <w:adjustRightInd w:val="0"/>
              <w:snapToGrid w:val="0"/>
              <w:spacing w:line="240" w:lineRule="auto"/>
              <w:ind w:right="-73" w:rightChars="-3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实质性要求及重要指标用★标注，★标注项不得负偏离，如果负偏离，则投标文件无效。</w:t>
            </w:r>
            <w:r>
              <w:rPr>
                <w:rFonts w:hint="eastAsia" w:ascii="仿宋" w:hAnsi="仿宋" w:eastAsia="仿宋" w:cs="仿宋"/>
                <w:color w:val="auto"/>
                <w:sz w:val="21"/>
                <w:szCs w:val="21"/>
                <w:highlight w:val="none"/>
              </w:rPr>
              <w:t>）</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7" w:rightChars="-51"/>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投标文件响应内容</w:t>
            </w: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9" w:leftChars="-28" w:right="-105" w:right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偏离程度</w:t>
            </w: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9" w:leftChars="-28" w:right="-105" w:right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交货时间：</w:t>
            </w:r>
            <w:r>
              <w:rPr>
                <w:rFonts w:hint="eastAsia" w:ascii="仿宋" w:hAnsi="仿宋" w:eastAsia="仿宋" w:cs="仿宋"/>
                <w:color w:val="auto"/>
                <w:sz w:val="21"/>
                <w:szCs w:val="21"/>
                <w:highlight w:val="none"/>
                <w:lang w:val="en-US" w:eastAsia="zh-CN"/>
              </w:rPr>
              <w:t>3年，按采购人要求分批次进行供货</w:t>
            </w:r>
            <w:r>
              <w:rPr>
                <w:rFonts w:hint="eastAsia" w:ascii="仿宋" w:hAnsi="仿宋" w:eastAsia="仿宋" w:cs="仿宋"/>
                <w:bCs/>
                <w:color w:val="auto"/>
                <w:sz w:val="21"/>
                <w:szCs w:val="21"/>
                <w:highlight w:val="none"/>
              </w:rPr>
              <w:t>。</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交货地点：采购人指定地点</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付款方式及条件：</w:t>
            </w:r>
            <w:r>
              <w:rPr>
                <w:rFonts w:hint="eastAsia" w:ascii="仿宋" w:hAnsi="仿宋" w:eastAsia="仿宋" w:cs="仿宋"/>
                <w:color w:val="auto"/>
                <w:sz w:val="21"/>
                <w:szCs w:val="21"/>
                <w:highlight w:val="none"/>
                <w:lang w:eastAsia="zh-CN"/>
              </w:rPr>
              <w:t>按批次付款，批次货到并经验收合格后，中标人向采购人提供正规发票，采购人支付该批次货款，据实结算。</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验收标准：按照采购合同规定的技术、服务等要求组织对供应商履约的验收，并出具验收文档。</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验收程序：根据《关于印发辽宁省政府采购履约验收管理办法的通知》辽财采[2017]603号执行。</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验收报告：由采购人出具。</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组织验收主体：本项目的履约验收工作由采购人依法组织实施。</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5065" w:type="dxa"/>
            <w:shd w:val="clear" w:color="auto" w:fill="auto"/>
            <w:vAlign w:val="center"/>
          </w:tcPr>
          <w:p>
            <w:pPr>
              <w:pStyle w:val="8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质量保证期：自验收合格之日起</w:t>
            </w:r>
            <w:r>
              <w:rPr>
                <w:rFonts w:hint="eastAsia" w:ascii="仿宋" w:hAnsi="仿宋" w:eastAsia="仿宋" w:cs="仿宋"/>
                <w:color w:val="auto"/>
                <w:sz w:val="21"/>
                <w:szCs w:val="21"/>
                <w:highlight w:val="none"/>
                <w:lang w:val="en-US" w:eastAsia="zh-CN"/>
              </w:rPr>
              <w:t>1年。其中</w:t>
            </w:r>
            <w:r>
              <w:rPr>
                <w:rFonts w:hint="eastAsia" w:ascii="仿宋" w:hAnsi="仿宋" w:eastAsia="仿宋" w:cs="仿宋"/>
                <w:color w:val="auto"/>
                <w:sz w:val="21"/>
                <w:szCs w:val="21"/>
                <w:highlight w:val="none"/>
              </w:rPr>
              <w:t>骨灰盒需提供终身质保</w:t>
            </w:r>
            <w:r>
              <w:rPr>
                <w:rFonts w:hint="eastAsia" w:ascii="仿宋" w:hAnsi="仿宋" w:eastAsia="仿宋" w:cs="仿宋"/>
                <w:color w:val="auto"/>
                <w:sz w:val="21"/>
                <w:szCs w:val="21"/>
                <w:highlight w:val="none"/>
                <w:lang w:eastAsia="zh-CN"/>
              </w:rPr>
              <w:t>。</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热线支持：</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现场支持：（</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）小时内响应；（ </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）小时内到达</w:t>
            </w: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供货方式及要求</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采购人不向中标人保证最低需求量，以采购人实际</w:t>
            </w:r>
            <w:r>
              <w:rPr>
                <w:rFonts w:hint="eastAsia" w:ascii="仿宋" w:hAnsi="仿宋" w:eastAsia="仿宋" w:cs="仿宋"/>
                <w:color w:val="auto"/>
                <w:sz w:val="21"/>
                <w:szCs w:val="21"/>
                <w:highlight w:val="none"/>
                <w:lang w:eastAsia="zh-CN"/>
              </w:rPr>
              <w:t>使用</w:t>
            </w:r>
            <w:r>
              <w:rPr>
                <w:rFonts w:hint="eastAsia" w:ascii="仿宋" w:hAnsi="仿宋" w:eastAsia="仿宋" w:cs="仿宋"/>
                <w:color w:val="auto"/>
                <w:sz w:val="21"/>
                <w:szCs w:val="21"/>
                <w:highlight w:val="none"/>
              </w:rPr>
              <w:t>数量为准。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中标人应保证仓库内在售骨灰盒库存的充足，不能出现库存缺货、脱货情况。常规送货时间为接到采购人通知后</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小时内送至指定地点。因突发事件，中标人必须保证自接到采购人通知起4小时内将骨灰盒送至指定地点。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货物由采购人组织人员验收，并开具入库单。供应商须保证所供货物全新、正宗、原包装。所送的货物尺寸要和</w:t>
            </w:r>
            <w:r>
              <w:rPr>
                <w:rFonts w:hint="eastAsia" w:ascii="仿宋" w:hAnsi="仿宋" w:eastAsia="仿宋" w:cs="仿宋"/>
                <w:color w:val="auto"/>
                <w:sz w:val="21"/>
                <w:szCs w:val="21"/>
                <w:highlight w:val="none"/>
                <w:lang w:eastAsia="zh-CN"/>
              </w:rPr>
              <w:t>招标文件要求</w:t>
            </w:r>
            <w:r>
              <w:rPr>
                <w:rFonts w:hint="eastAsia" w:ascii="仿宋" w:hAnsi="仿宋" w:eastAsia="仿宋" w:cs="仿宋"/>
                <w:color w:val="auto"/>
                <w:sz w:val="21"/>
                <w:szCs w:val="21"/>
                <w:highlight w:val="none"/>
              </w:rPr>
              <w:t>尺寸相符。若事后发现所供货物不符要求并引起纠纷的，</w:t>
            </w:r>
            <w:r>
              <w:rPr>
                <w:rFonts w:hint="eastAsia" w:ascii="仿宋" w:hAnsi="仿宋" w:eastAsia="仿宋" w:cs="仿宋"/>
                <w:color w:val="auto"/>
                <w:sz w:val="21"/>
                <w:szCs w:val="21"/>
                <w:highlight w:val="none"/>
                <w:lang w:val="en-US" w:eastAsia="zh-CN"/>
              </w:rPr>
              <w:t>所发生的一切后果由中标方负责，</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保留对</w:t>
            </w:r>
            <w:r>
              <w:rPr>
                <w:rFonts w:hint="eastAsia" w:ascii="仿宋" w:hAnsi="仿宋" w:eastAsia="仿宋" w:cs="仿宋"/>
                <w:color w:val="auto"/>
                <w:sz w:val="21"/>
                <w:szCs w:val="21"/>
                <w:highlight w:val="none"/>
                <w:lang w:val="en-US" w:eastAsia="zh-CN"/>
              </w:rPr>
              <w:t>中标</w:t>
            </w:r>
            <w:r>
              <w:rPr>
                <w:rFonts w:hint="eastAsia" w:ascii="仿宋" w:hAnsi="仿宋" w:eastAsia="仿宋" w:cs="仿宋"/>
                <w:color w:val="auto"/>
                <w:sz w:val="21"/>
                <w:szCs w:val="21"/>
                <w:highlight w:val="none"/>
              </w:rPr>
              <w:t>方索赔的权利。</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中标人需对产品的专利负责，若因专利问题引起纠纷的，由中标人自行负责，并保证不伤害采购人的利益。</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采购人在馆内搬运或用户挑选过程中所造成的非人为因素损坏由</w:t>
            </w:r>
            <w:r>
              <w:rPr>
                <w:rFonts w:hint="eastAsia" w:ascii="仿宋" w:hAnsi="仿宋" w:eastAsia="仿宋" w:cs="仿宋"/>
                <w:color w:val="auto"/>
                <w:sz w:val="21"/>
                <w:szCs w:val="21"/>
                <w:highlight w:val="none"/>
                <w:lang w:val="en-US" w:eastAsia="zh-CN"/>
              </w:rPr>
              <w:t>中标</w:t>
            </w:r>
            <w:r>
              <w:rPr>
                <w:rFonts w:hint="eastAsia" w:ascii="仿宋" w:hAnsi="仿宋" w:eastAsia="仿宋" w:cs="仿宋"/>
                <w:color w:val="auto"/>
                <w:sz w:val="21"/>
                <w:szCs w:val="21"/>
                <w:highlight w:val="none"/>
              </w:rPr>
              <w:t>方负责。</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油漆：油漆采用高聚脂漆或生漆，颜色均匀，漆质饱满，无皱皮、发粘和漏漆现象。</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木材：木材经脱脂烘干处理，不得采用边皮。表面应无虫蛀、无节子；除装饰附件外整盒应为原木。</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雕刻应生动，表面光滑，形象美观，无刀痕。</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采用木榫接，接头处应涂胶，不得使用金属钉子。</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附件应结合牢固，防止老化脱落。</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玉材要求：外观平整、光滑、无裂缝、破损、不得粘合</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cs="仿宋"/>
                <w:color w:val="auto"/>
                <w:sz w:val="21"/>
                <w:szCs w:val="21"/>
                <w:highlight w:val="none"/>
                <w:lang w:val="en-US" w:eastAsia="zh-CN"/>
              </w:rPr>
              <w:t>9</w:t>
            </w:r>
          </w:p>
        </w:tc>
        <w:tc>
          <w:tcPr>
            <w:tcW w:w="5065" w:type="dxa"/>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违约责任：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lang w:bidi="ar"/>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1</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若因库存不足导致不能及时供货，</w:t>
            </w:r>
            <w:r>
              <w:rPr>
                <w:rFonts w:hint="eastAsia" w:ascii="仿宋" w:hAnsi="仿宋" w:eastAsia="仿宋" w:cs="仿宋"/>
                <w:color w:val="auto"/>
                <w:sz w:val="21"/>
                <w:szCs w:val="21"/>
                <w:highlight w:val="none"/>
                <w:lang w:bidi="ar"/>
              </w:rPr>
              <w:t>采购人按未及时供货</w:t>
            </w:r>
            <w:r>
              <w:rPr>
                <w:rFonts w:hint="eastAsia" w:ascii="仿宋" w:hAnsi="仿宋" w:eastAsia="仿宋" w:cs="仿宋"/>
                <w:color w:val="auto"/>
                <w:sz w:val="21"/>
                <w:szCs w:val="21"/>
                <w:highlight w:val="none"/>
                <w:lang w:eastAsia="zh-CN" w:bidi="ar"/>
              </w:rPr>
              <w:t>殡葬用品</w:t>
            </w:r>
            <w:r>
              <w:rPr>
                <w:rFonts w:hint="eastAsia" w:ascii="仿宋" w:hAnsi="仿宋" w:eastAsia="仿宋" w:cs="仿宋"/>
                <w:color w:val="auto"/>
                <w:sz w:val="21"/>
                <w:szCs w:val="21"/>
                <w:highlight w:val="none"/>
                <w:lang w:bidi="ar"/>
              </w:rPr>
              <w:t>总量销售价格2倍计算的金额</w:t>
            </w:r>
            <w:r>
              <w:rPr>
                <w:rFonts w:hint="eastAsia" w:ascii="仿宋" w:hAnsi="仿宋" w:eastAsia="仿宋" w:cs="仿宋"/>
                <w:color w:val="auto"/>
                <w:sz w:val="21"/>
                <w:szCs w:val="21"/>
                <w:highlight w:val="none"/>
                <w:lang w:eastAsia="zh-CN" w:bidi="ar"/>
              </w:rPr>
              <w:t>向中标人收取违约金</w:t>
            </w:r>
            <w:r>
              <w:rPr>
                <w:rFonts w:hint="eastAsia" w:ascii="仿宋" w:hAnsi="仿宋" w:eastAsia="仿宋" w:cs="仿宋"/>
                <w:color w:val="auto"/>
                <w:sz w:val="21"/>
                <w:szCs w:val="21"/>
                <w:highlight w:val="none"/>
                <w:lang w:bidi="ar"/>
              </w:rPr>
              <w:t>，采购人在处理后续工作中有费用产生的，均由供应商承担，如发生第二次同类情况，采购人有权解除合同。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2</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骨灰盒有缺陷、瑕疵而产生有效投诉或与丧户发生矛盾的，由中标人自行处理。</w:t>
            </w:r>
            <w:r>
              <w:rPr>
                <w:rFonts w:hint="eastAsia" w:ascii="仿宋" w:hAnsi="仿宋" w:eastAsia="仿宋" w:cs="仿宋"/>
                <w:color w:val="auto"/>
                <w:sz w:val="21"/>
                <w:szCs w:val="21"/>
                <w:highlight w:val="none"/>
                <w:lang w:bidi="ar"/>
              </w:rPr>
              <w:t>第一次发生时</w:t>
            </w:r>
            <w:r>
              <w:rPr>
                <w:rFonts w:hint="eastAsia" w:ascii="仿宋" w:hAnsi="仿宋" w:cs="仿宋"/>
                <w:color w:val="auto"/>
                <w:sz w:val="21"/>
                <w:szCs w:val="21"/>
                <w:highlight w:val="none"/>
                <w:lang w:eastAsia="zh-CN" w:bidi="ar"/>
              </w:rPr>
              <w:t>向采购人缴纳人民币</w:t>
            </w:r>
            <w:r>
              <w:rPr>
                <w:rFonts w:hint="eastAsia" w:ascii="仿宋" w:hAnsi="仿宋" w:eastAsia="仿宋" w:cs="仿宋"/>
                <w:color w:val="auto"/>
                <w:sz w:val="21"/>
                <w:szCs w:val="21"/>
                <w:highlight w:val="none"/>
                <w:lang w:bidi="ar"/>
              </w:rPr>
              <w:t>5000元</w:t>
            </w:r>
            <w:r>
              <w:rPr>
                <w:rFonts w:hint="eastAsia" w:ascii="仿宋" w:hAnsi="仿宋" w:cs="仿宋"/>
                <w:color w:val="auto"/>
                <w:sz w:val="21"/>
                <w:szCs w:val="21"/>
                <w:highlight w:val="none"/>
                <w:lang w:eastAsia="zh-CN" w:bidi="ar"/>
              </w:rPr>
              <w:t>作为违约金</w:t>
            </w:r>
            <w:r>
              <w:rPr>
                <w:rFonts w:hint="eastAsia" w:ascii="仿宋" w:hAnsi="仿宋" w:eastAsia="仿宋" w:cs="仿宋"/>
                <w:color w:val="auto"/>
                <w:sz w:val="21"/>
                <w:szCs w:val="21"/>
                <w:highlight w:val="none"/>
                <w:lang w:bidi="ar"/>
              </w:rPr>
              <w:t>，第二次发生时</w:t>
            </w:r>
            <w:r>
              <w:rPr>
                <w:rFonts w:hint="eastAsia" w:ascii="仿宋" w:hAnsi="仿宋" w:cs="仿宋"/>
                <w:color w:val="auto"/>
                <w:sz w:val="21"/>
                <w:szCs w:val="21"/>
                <w:highlight w:val="none"/>
                <w:lang w:eastAsia="zh-CN" w:bidi="ar"/>
              </w:rPr>
              <w:t>向采购人缴纳人民币</w:t>
            </w:r>
            <w:r>
              <w:rPr>
                <w:rFonts w:hint="eastAsia" w:ascii="仿宋" w:hAnsi="仿宋" w:eastAsia="仿宋" w:cs="仿宋"/>
                <w:color w:val="auto"/>
                <w:sz w:val="21"/>
                <w:szCs w:val="21"/>
                <w:highlight w:val="none"/>
                <w:lang w:bidi="ar"/>
              </w:rPr>
              <w:t>10000元</w:t>
            </w:r>
            <w:r>
              <w:rPr>
                <w:rFonts w:hint="eastAsia" w:ascii="仿宋" w:hAnsi="仿宋" w:cs="仿宋"/>
                <w:color w:val="auto"/>
                <w:sz w:val="21"/>
                <w:szCs w:val="21"/>
                <w:highlight w:val="none"/>
                <w:lang w:eastAsia="zh-CN" w:bidi="ar"/>
              </w:rPr>
              <w:t>作为违约金</w:t>
            </w:r>
            <w:r>
              <w:rPr>
                <w:rFonts w:hint="eastAsia" w:ascii="仿宋" w:hAnsi="仿宋" w:eastAsia="仿宋" w:cs="仿宋"/>
                <w:color w:val="auto"/>
                <w:sz w:val="21"/>
                <w:szCs w:val="21"/>
                <w:highlight w:val="none"/>
                <w:lang w:bidi="ar"/>
              </w:rPr>
              <w:t>，第三次发生时采购人有权直接解除合同。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中标人提供的</w:t>
            </w:r>
            <w:r>
              <w:rPr>
                <w:rFonts w:hint="eastAsia" w:ascii="仿宋" w:hAnsi="仿宋" w:cs="仿宋"/>
                <w:color w:val="auto"/>
                <w:sz w:val="21"/>
                <w:szCs w:val="21"/>
                <w:highlight w:val="none"/>
                <w:lang w:eastAsia="zh-CN"/>
              </w:rPr>
              <w:t>殡葬用品</w:t>
            </w:r>
            <w:r>
              <w:rPr>
                <w:rFonts w:hint="eastAsia" w:ascii="仿宋" w:hAnsi="仿宋" w:eastAsia="仿宋" w:cs="仿宋"/>
                <w:color w:val="auto"/>
                <w:sz w:val="21"/>
                <w:szCs w:val="21"/>
                <w:highlight w:val="none"/>
              </w:rPr>
              <w:t>应符合国家环保标准，如提供的骨灰盒造成采购人员工身体伤害的，中标人应承担相应的经济赔偿，并立即更换符合环保要求的</w:t>
            </w:r>
            <w:r>
              <w:rPr>
                <w:rFonts w:hint="eastAsia" w:ascii="仿宋" w:hAnsi="仿宋" w:cs="仿宋"/>
                <w:color w:val="auto"/>
                <w:sz w:val="21"/>
                <w:szCs w:val="21"/>
                <w:highlight w:val="none"/>
                <w:lang w:eastAsia="zh-CN"/>
              </w:rPr>
              <w:t>殡葬用品</w:t>
            </w:r>
            <w:r>
              <w:rPr>
                <w:rFonts w:hint="eastAsia" w:ascii="仿宋" w:hAnsi="仿宋" w:eastAsia="仿宋" w:cs="仿宋"/>
                <w:color w:val="auto"/>
                <w:sz w:val="21"/>
                <w:szCs w:val="21"/>
                <w:highlight w:val="none"/>
              </w:rPr>
              <w:t>，因第三方检测所发生的实际费用由中标人支付。如</w:t>
            </w:r>
            <w:r>
              <w:rPr>
                <w:rFonts w:hint="eastAsia" w:ascii="仿宋" w:hAnsi="仿宋" w:cs="仿宋"/>
                <w:color w:val="auto"/>
                <w:sz w:val="21"/>
                <w:szCs w:val="21"/>
                <w:highlight w:val="none"/>
                <w:lang w:eastAsia="zh-CN"/>
              </w:rPr>
              <w:t>殡葬用品</w:t>
            </w:r>
            <w:r>
              <w:rPr>
                <w:rFonts w:hint="eastAsia" w:ascii="仿宋" w:hAnsi="仿宋" w:eastAsia="仿宋" w:cs="仿宋"/>
                <w:color w:val="auto"/>
                <w:sz w:val="21"/>
                <w:szCs w:val="21"/>
                <w:highlight w:val="none"/>
              </w:rPr>
              <w:t>质量严重不达标的并造成员工严重的身体伤害的，采购人有权终止合同。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中标人未能按要求提供</w:t>
            </w:r>
            <w:r>
              <w:rPr>
                <w:rFonts w:hint="eastAsia" w:ascii="仿宋" w:hAnsi="仿宋" w:cs="仿宋"/>
                <w:color w:val="auto"/>
                <w:sz w:val="21"/>
                <w:szCs w:val="21"/>
                <w:highlight w:val="none"/>
                <w:lang w:eastAsia="zh-CN"/>
              </w:rPr>
              <w:t>殡葬用品</w:t>
            </w:r>
            <w:r>
              <w:rPr>
                <w:rFonts w:hint="eastAsia" w:ascii="仿宋" w:hAnsi="仿宋" w:eastAsia="仿宋" w:cs="仿宋"/>
                <w:color w:val="auto"/>
                <w:sz w:val="21"/>
                <w:szCs w:val="21"/>
                <w:highlight w:val="none"/>
              </w:rPr>
              <w:t>，发生质量问题被新闻媒体、社会团体、上级领导等介入的，造成恶劣社会影响的，或在合同履行中发生虚报数量诚信问题的，</w:t>
            </w:r>
            <w:r>
              <w:rPr>
                <w:rFonts w:hint="eastAsia" w:ascii="仿宋" w:hAnsi="仿宋" w:eastAsia="仿宋" w:cs="仿宋"/>
                <w:color w:val="auto"/>
                <w:sz w:val="21"/>
                <w:szCs w:val="21"/>
                <w:highlight w:val="none"/>
                <w:lang w:bidi="ar"/>
              </w:rPr>
              <w:t>采购人有权解除合同，后续工作中所产生的一切费用均由乙方负责。</w:t>
            </w:r>
          </w:p>
          <w:p>
            <w:pPr>
              <w:keepNext w:val="0"/>
              <w:keepLines w:val="0"/>
              <w:pageBreakBefore w:val="0"/>
              <w:widowControl w:val="0"/>
              <w:kinsoku/>
              <w:wordWrap/>
              <w:overflowPunct/>
              <w:topLinePunct w:val="0"/>
              <w:autoSpaceDE/>
              <w:autoSpaceDN/>
              <w:bidi w:val="0"/>
              <w:adjustRightInd w:val="0"/>
              <w:snapToGrid w:val="0"/>
              <w:spacing w:line="240" w:lineRule="auto"/>
              <w:ind w:hanging="1"/>
              <w:textAlignment w:val="auto"/>
              <w:rPr>
                <w:rFonts w:hint="eastAsia" w:ascii="仿宋" w:hAnsi="仿宋" w:eastAsia="仿宋" w:cs="仿宋"/>
                <w:color w:val="auto"/>
                <w:sz w:val="21"/>
                <w:szCs w:val="21"/>
                <w:highlight w:val="none"/>
              </w:rPr>
            </w:pPr>
          </w:p>
        </w:tc>
        <w:tc>
          <w:tcPr>
            <w:tcW w:w="1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bookmark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cs="仿宋"/>
                <w:color w:val="auto"/>
                <w:sz w:val="21"/>
                <w:szCs w:val="21"/>
                <w:highlight w:val="none"/>
                <w:lang w:val="en-US" w:eastAsia="zh-CN"/>
              </w:rPr>
              <w:t>10</w:t>
            </w:r>
          </w:p>
        </w:tc>
        <w:tc>
          <w:tcPr>
            <w:tcW w:w="5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w:t>
            </w:r>
          </w:p>
        </w:tc>
        <w:tc>
          <w:tcPr>
            <w:tcW w:w="10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17" w:rightChars="-8"/>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采购单位未提供需求而投标人认为需说明及补充的内容在此填列</w:t>
            </w:r>
          </w:p>
        </w:tc>
        <w:tc>
          <w:tcPr>
            <w:tcW w:w="926" w:type="dxa"/>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c>
          <w:tcPr>
            <w:tcW w:w="936" w:type="dxa"/>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hint="eastAsia" w:ascii="仿宋" w:hAnsi="仿宋" w:eastAsia="仿宋" w:cs="仿宋"/>
                <w:color w:val="auto"/>
                <w:sz w:val="21"/>
                <w:szCs w:val="21"/>
                <w:highlight w:val="none"/>
              </w:rPr>
            </w:pPr>
          </w:p>
        </w:tc>
      </w:tr>
    </w:tbl>
    <w:p>
      <w:pPr>
        <w:adjustRightInd w:val="0"/>
        <w:snapToGrid w:val="0"/>
        <w:spacing w:line="360" w:lineRule="auto"/>
        <w:ind w:right="105" w:rightChars="50"/>
        <w:jc w:val="left"/>
        <w:rPr>
          <w:rFonts w:hint="eastAsia" w:ascii="仿宋" w:hAnsi="仿宋" w:cs="仿宋"/>
          <w:color w:val="auto"/>
          <w:szCs w:val="21"/>
          <w:highlight w:val="none"/>
        </w:rPr>
      </w:pPr>
      <w:r>
        <w:rPr>
          <w:rFonts w:hint="eastAsia" w:ascii="仿宋" w:hAnsi="仿宋" w:cs="仿宋"/>
          <w:b/>
          <w:color w:val="auto"/>
          <w:szCs w:val="21"/>
          <w:highlight w:val="none"/>
        </w:rPr>
        <w:t>填表要求：</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1．“投标文件响应内容”一栏由投标人按照招标文件要求填写，进行响应。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cs="仿宋"/>
          <w:color w:val="auto"/>
          <w:szCs w:val="21"/>
          <w:highlight w:val="none"/>
        </w:rPr>
      </w:pPr>
      <w:r>
        <w:rPr>
          <w:rFonts w:hint="eastAsia" w:ascii="仿宋" w:hAnsi="仿宋" w:cs="仿宋"/>
          <w:color w:val="auto"/>
          <w:szCs w:val="21"/>
          <w:highlight w:val="none"/>
        </w:rPr>
        <w:t>2．“偏离程度”一栏根据“投标文件响应内容”与招标文件逐项对照的结果填写。偏离必须用 “正偏离、负偏离或无偏离”三个名称中的一种进行标注。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cs="仿宋"/>
          <w:color w:val="auto"/>
          <w:szCs w:val="21"/>
          <w:highlight w:val="none"/>
        </w:rPr>
      </w:pPr>
      <w:r>
        <w:rPr>
          <w:rFonts w:hint="eastAsia" w:ascii="仿宋" w:hAnsi="仿宋" w:cs="仿宋"/>
          <w:color w:val="auto"/>
          <w:szCs w:val="21"/>
          <w:highlight w:val="none"/>
        </w:rPr>
        <w:t>3．“偏离说明”一栏由投标人对偏离的情况做详细说明。</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cs="仿宋"/>
          <w:color w:val="auto"/>
          <w:szCs w:val="28"/>
          <w:highlight w:val="none"/>
        </w:rPr>
      </w:pPr>
      <w:r>
        <w:rPr>
          <w:rFonts w:hint="eastAsia" w:ascii="仿宋" w:hAnsi="仿宋" w:cs="仿宋"/>
          <w:color w:val="auto"/>
          <w:highlight w:val="none"/>
        </w:rPr>
        <w:t>日期：</w:t>
      </w:r>
      <w:r>
        <w:rPr>
          <w:rFonts w:hint="eastAsia" w:ascii="仿宋" w:hAnsi="仿宋" w:cs="仿宋"/>
          <w:color w:val="auto"/>
          <w:highlight w:val="none"/>
        </w:rPr>
        <w:tab/>
      </w:r>
      <w:r>
        <w:rPr>
          <w:rFonts w:hint="eastAsia" w:ascii="仿宋" w:hAnsi="仿宋" w:cs="仿宋"/>
          <w:color w:val="auto"/>
          <w:szCs w:val="21"/>
          <w:highlight w:val="none"/>
          <w:u w:val="single"/>
        </w:rPr>
        <w:t xml:space="preserve">                </w:t>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格式14</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bookmarkStart w:id="116" w:name="_Toc9410_WPSOffice_Level2"/>
      <w:bookmarkStart w:id="117" w:name="_Toc20929_WPSOffice_Level2"/>
      <w:r>
        <w:rPr>
          <w:rFonts w:hint="eastAsia" w:ascii="仿宋" w:hAnsi="仿宋" w:cs="仿宋"/>
          <w:b/>
          <w:bCs/>
          <w:color w:val="auto"/>
          <w:sz w:val="32"/>
          <w:szCs w:val="32"/>
          <w:highlight w:val="none"/>
        </w:rPr>
        <w:t>投标人关联单位的说明</w:t>
      </w:r>
      <w:bookmarkEnd w:id="116"/>
      <w:bookmarkEnd w:id="117"/>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说明：投标人应当如实披露与本单位存在下列关联关系的单位名称：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bookmarkStart w:id="118" w:name="_Toc2074_WPSOffice_Level2"/>
      <w:bookmarkStart w:id="119" w:name="_Toc31070_WPSOffice_Level2"/>
      <w:r>
        <w:rPr>
          <w:rFonts w:hint="eastAsia" w:ascii="仿宋" w:hAnsi="仿宋" w:cs="仿宋"/>
          <w:color w:val="auto"/>
          <w:szCs w:val="21"/>
          <w:highlight w:val="none"/>
        </w:rPr>
        <w:t>（1）与投标人单位法定代表人（或非法人组织负责人）为同一人的其他单位；</w:t>
      </w:r>
      <w:bookmarkEnd w:id="118"/>
      <w:bookmarkEnd w:id="119"/>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bookmarkStart w:id="120" w:name="_Toc889_WPSOffice_Level2"/>
      <w:bookmarkStart w:id="121" w:name="_Toc27053_WPSOffice_Level2"/>
      <w:r>
        <w:rPr>
          <w:rFonts w:hint="eastAsia" w:ascii="仿宋" w:hAnsi="仿宋" w:cs="仿宋"/>
          <w:color w:val="auto"/>
          <w:szCs w:val="21"/>
          <w:highlight w:val="none"/>
        </w:rPr>
        <w:t>（2）与投标人存在直接控股、管理关系的其他单位。</w:t>
      </w:r>
      <w:bookmarkEnd w:id="120"/>
      <w:bookmarkEnd w:id="121"/>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投标人名称（加盖单位公章）：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szCs w:val="21"/>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pStyle w:val="4"/>
        <w:adjustRightInd w:val="0"/>
        <w:snapToGrid w:val="0"/>
        <w:spacing w:before="0" w:after="0" w:line="240" w:lineRule="auto"/>
        <w:jc w:val="left"/>
        <w:rPr>
          <w:rFonts w:hint="eastAsia" w:ascii="仿宋" w:hAnsi="仿宋" w:cs="仿宋"/>
          <w:color w:val="auto"/>
          <w:szCs w:val="28"/>
          <w:highlight w:val="none"/>
        </w:rPr>
      </w:pPr>
    </w:p>
    <w:p>
      <w:pPr>
        <w:rPr>
          <w:rFonts w:hint="eastAsia" w:ascii="仿宋" w:hAnsi="仿宋" w:cs="仿宋"/>
          <w:color w:val="auto"/>
          <w:szCs w:val="28"/>
          <w:highlight w:val="none"/>
        </w:rPr>
      </w:pPr>
    </w:p>
    <w:p>
      <w:pPr>
        <w:pStyle w:val="32"/>
        <w:ind w:firstLine="240"/>
        <w:rPr>
          <w:rFonts w:hint="eastAsia" w:ascii="仿宋" w:hAnsi="仿宋" w:eastAsia="仿宋" w:cs="仿宋"/>
          <w:color w:val="auto"/>
          <w:szCs w:val="28"/>
          <w:highlight w:val="none"/>
        </w:rPr>
      </w:pPr>
    </w:p>
    <w:p>
      <w:pPr>
        <w:rPr>
          <w:rFonts w:hint="eastAsia" w:ascii="仿宋" w:hAnsi="仿宋" w:cs="仿宋"/>
          <w:color w:val="auto"/>
          <w:szCs w:val="28"/>
          <w:highlight w:val="none"/>
        </w:rPr>
      </w:pPr>
    </w:p>
    <w:p>
      <w:pPr>
        <w:pStyle w:val="32"/>
        <w:ind w:firstLine="240"/>
        <w:rPr>
          <w:rFonts w:hint="eastAsia" w:ascii="仿宋" w:hAnsi="仿宋" w:eastAsia="仿宋" w:cs="仿宋"/>
          <w:color w:val="auto"/>
          <w:szCs w:val="28"/>
          <w:highlight w:val="none"/>
        </w:rPr>
      </w:pPr>
    </w:p>
    <w:p>
      <w:pPr>
        <w:rPr>
          <w:rFonts w:hint="eastAsia" w:ascii="仿宋" w:hAnsi="仿宋" w:cs="仿宋"/>
          <w:color w:val="auto"/>
          <w:szCs w:val="28"/>
          <w:highlight w:val="none"/>
        </w:rPr>
      </w:pPr>
    </w:p>
    <w:p>
      <w:pPr>
        <w:pStyle w:val="32"/>
        <w:ind w:firstLine="240"/>
        <w:rPr>
          <w:rFonts w:hint="eastAsia" w:ascii="仿宋" w:hAnsi="仿宋" w:eastAsia="仿宋" w:cs="仿宋"/>
          <w:color w:val="auto"/>
          <w:szCs w:val="28"/>
          <w:highlight w:val="none"/>
        </w:rPr>
      </w:pPr>
    </w:p>
    <w:p>
      <w:pPr>
        <w:rPr>
          <w:rFonts w:hint="eastAsia" w:ascii="仿宋" w:hAnsi="仿宋" w:cs="仿宋"/>
          <w:color w:val="auto"/>
          <w:szCs w:val="28"/>
          <w:highlight w:val="none"/>
        </w:rPr>
      </w:pPr>
    </w:p>
    <w:p>
      <w:pPr>
        <w:pStyle w:val="23"/>
        <w:ind w:firstLine="240"/>
        <w:rPr>
          <w:rFonts w:hint="eastAsia" w:ascii="仿宋" w:hAnsi="仿宋" w:eastAsia="仿宋" w:cs="仿宋"/>
          <w:color w:val="auto"/>
          <w:highlight w:val="none"/>
        </w:rPr>
      </w:pPr>
    </w:p>
    <w:p>
      <w:pPr>
        <w:widowControl/>
        <w:jc w:val="left"/>
        <w:rPr>
          <w:rFonts w:hint="eastAsia" w:ascii="仿宋" w:hAnsi="仿宋" w:cs="仿宋"/>
          <w:color w:val="auto"/>
          <w:sz w:val="24"/>
          <w:szCs w:val="28"/>
          <w:highlight w:val="none"/>
        </w:rPr>
      </w:pPr>
      <w:bookmarkStart w:id="122" w:name="_Toc4498_WPSOffice_Level1"/>
    </w:p>
    <w:p>
      <w:pPr>
        <w:pStyle w:val="23"/>
        <w:ind w:firstLine="240"/>
        <w:rPr>
          <w:rFonts w:hint="eastAsia" w:ascii="仿宋" w:hAnsi="仿宋" w:eastAsia="仿宋" w:cs="仿宋"/>
          <w:color w:val="auto"/>
          <w:highlight w:val="none"/>
        </w:rPr>
      </w:pPr>
    </w:p>
    <w:p>
      <w:pPr>
        <w:adjustRightInd w:val="0"/>
        <w:snapToGrid w:val="0"/>
        <w:spacing w:line="360" w:lineRule="auto"/>
        <w:ind w:right="105" w:rightChars="50"/>
        <w:jc w:val="left"/>
        <w:outlineLvl w:val="1"/>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格式15</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中小企业声明函</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 xml:space="preserve"> 本公司（联合体）郑重声明，根据《政府采购促进中小企业发展管理办法》（财库﹝2020﹞46 号）的规定，本公司（联合体）参加（单位名称）的（项目名称）采购活动，提供的货物</w:t>
      </w:r>
      <w:r>
        <w:rPr>
          <w:rFonts w:hint="eastAsia" w:ascii="仿宋" w:hAnsi="仿宋" w:cs="仿宋"/>
          <w:b/>
          <w:bCs/>
          <w:color w:val="auto"/>
          <w:highlight w:val="none"/>
        </w:rPr>
        <w:t>全部</w:t>
      </w:r>
      <w:r>
        <w:rPr>
          <w:rFonts w:hint="eastAsia" w:ascii="仿宋" w:hAnsi="仿宋" w:cs="仿宋"/>
          <w:color w:val="auto"/>
          <w:highlight w:val="none"/>
        </w:rPr>
        <w:t xml:space="preserve">由符合政策要求的中小企业制造。相关企业（含联合体中的中小企业、签订分包意向协议的中小企业）的具体情况如下： </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1.</w:t>
      </w:r>
      <w:r>
        <w:rPr>
          <w:rFonts w:hint="eastAsia" w:ascii="仿宋" w:hAnsi="仿宋" w:cs="仿宋"/>
          <w:color w:val="auto"/>
          <w:highlight w:val="none"/>
          <w:u w:val="single"/>
        </w:rPr>
        <w:t xml:space="preserve"> （花艺围棺（高档））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（中型企业、小型企业、微型企业）</w:t>
      </w:r>
      <w:r>
        <w:rPr>
          <w:rFonts w:hint="eastAsia" w:ascii="仿宋" w:hAnsi="仿宋" w:cs="仿宋"/>
          <w:color w:val="auto"/>
          <w:highlight w:val="none"/>
        </w:rPr>
        <w:t xml:space="preserve">； </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2.</w:t>
      </w:r>
      <w:r>
        <w:rPr>
          <w:rFonts w:hint="eastAsia" w:ascii="仿宋" w:hAnsi="仿宋" w:cs="仿宋"/>
          <w:color w:val="auto"/>
          <w:highlight w:val="none"/>
          <w:u w:val="single"/>
        </w:rPr>
        <w:t xml:space="preserve"> （花艺围棺（中档））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 xml:space="preserve">； </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3.</w:t>
      </w:r>
      <w:r>
        <w:rPr>
          <w:rFonts w:hint="eastAsia" w:ascii="仿宋" w:hAnsi="仿宋" w:cs="仿宋"/>
          <w:color w:val="auto"/>
          <w:highlight w:val="none"/>
          <w:u w:val="single"/>
        </w:rPr>
        <w:t xml:space="preserve"> （尸床垫（耐火垫））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 xml:space="preserve">； </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4.</w:t>
      </w:r>
      <w:r>
        <w:rPr>
          <w:rFonts w:hint="eastAsia" w:ascii="仿宋" w:hAnsi="仿宋" w:cs="仿宋"/>
          <w:color w:val="auto"/>
          <w:highlight w:val="none"/>
          <w:u w:val="single"/>
        </w:rPr>
        <w:t xml:space="preserve"> （拣灰手套）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 xml:space="preserve">； </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5</w:t>
      </w:r>
      <w:r>
        <w:rPr>
          <w:rFonts w:hint="eastAsia" w:ascii="仿宋" w:hAnsi="仿宋" w:cs="仿宋"/>
          <w:color w:val="auto"/>
          <w:highlight w:val="none"/>
        </w:rPr>
        <w:t>.</w:t>
      </w:r>
      <w:r>
        <w:rPr>
          <w:rFonts w:hint="eastAsia" w:ascii="仿宋" w:hAnsi="仿宋" w:cs="仿宋"/>
          <w:color w:val="auto"/>
          <w:highlight w:val="none"/>
          <w:u w:val="single"/>
        </w:rPr>
        <w:t xml:space="preserve"> （金砖）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6</w:t>
      </w:r>
      <w:r>
        <w:rPr>
          <w:rFonts w:hint="eastAsia" w:ascii="仿宋" w:hAnsi="仿宋" w:cs="仿宋"/>
          <w:color w:val="auto"/>
          <w:highlight w:val="none"/>
        </w:rPr>
        <w:t>.</w:t>
      </w:r>
      <w:r>
        <w:rPr>
          <w:rFonts w:hint="eastAsia" w:ascii="仿宋" w:hAnsi="仿宋" w:cs="仿宋"/>
          <w:color w:val="auto"/>
          <w:highlight w:val="none"/>
          <w:u w:val="single"/>
        </w:rPr>
        <w:t xml:space="preserve"> （防尘罩、垫）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7</w:t>
      </w:r>
      <w:r>
        <w:rPr>
          <w:rFonts w:hint="eastAsia" w:ascii="仿宋" w:hAnsi="仿宋" w:cs="仿宋"/>
          <w:color w:val="auto"/>
          <w:highlight w:val="none"/>
        </w:rPr>
        <w:t>.</w:t>
      </w:r>
      <w:r>
        <w:rPr>
          <w:rFonts w:hint="eastAsia" w:ascii="仿宋" w:hAnsi="仿宋" w:cs="仿宋"/>
          <w:color w:val="auto"/>
          <w:highlight w:val="none"/>
          <w:u w:val="single"/>
        </w:rPr>
        <w:t xml:space="preserve"> （骨灰袋）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8</w:t>
      </w:r>
      <w:r>
        <w:rPr>
          <w:rFonts w:hint="eastAsia" w:ascii="仿宋" w:hAnsi="仿宋" w:cs="仿宋"/>
          <w:color w:val="auto"/>
          <w:highlight w:val="none"/>
        </w:rPr>
        <w:t>.</w:t>
      </w:r>
      <w:r>
        <w:rPr>
          <w:rFonts w:hint="eastAsia" w:ascii="仿宋" w:hAnsi="仿宋" w:cs="仿宋"/>
          <w:color w:val="auto"/>
          <w:highlight w:val="none"/>
          <w:u w:val="single"/>
        </w:rPr>
        <w:t xml:space="preserve"> （包布）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9</w:t>
      </w:r>
      <w:r>
        <w:rPr>
          <w:rFonts w:hint="eastAsia" w:ascii="仿宋" w:hAnsi="仿宋" w:cs="仿宋"/>
          <w:color w:val="auto"/>
          <w:highlight w:val="none"/>
        </w:rPr>
        <w:t>.</w:t>
      </w:r>
      <w:r>
        <w:rPr>
          <w:rFonts w:hint="eastAsia" w:ascii="仿宋" w:hAnsi="仿宋" w:cs="仿宋"/>
          <w:color w:val="auto"/>
          <w:highlight w:val="none"/>
          <w:u w:val="single"/>
        </w:rPr>
        <w:t xml:space="preserve"> （跪拜垫）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10</w:t>
      </w:r>
      <w:r>
        <w:rPr>
          <w:rFonts w:hint="eastAsia" w:ascii="仿宋" w:hAnsi="仿宋" w:cs="仿宋"/>
          <w:color w:val="auto"/>
          <w:highlight w:val="none"/>
        </w:rPr>
        <w:t>.</w:t>
      </w:r>
      <w:r>
        <w:rPr>
          <w:rFonts w:hint="eastAsia" w:ascii="仿宋" w:hAnsi="仿宋" w:cs="仿宋"/>
          <w:color w:val="auto"/>
          <w:highlight w:val="none"/>
          <w:u w:val="single"/>
        </w:rPr>
        <w:t xml:space="preserve"> （纳骨托盘）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11</w:t>
      </w:r>
      <w:r>
        <w:rPr>
          <w:rFonts w:hint="eastAsia" w:ascii="仿宋" w:hAnsi="仿宋" w:cs="仿宋"/>
          <w:color w:val="auto"/>
          <w:highlight w:val="none"/>
        </w:rPr>
        <w:t>.</w:t>
      </w:r>
      <w:r>
        <w:rPr>
          <w:rFonts w:hint="eastAsia" w:ascii="仿宋" w:hAnsi="仿宋" w:cs="仿宋"/>
          <w:color w:val="auto"/>
          <w:highlight w:val="none"/>
          <w:u w:val="single"/>
        </w:rPr>
        <w:t xml:space="preserve"> （玉石碑1）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12</w:t>
      </w:r>
      <w:r>
        <w:rPr>
          <w:rFonts w:hint="eastAsia" w:ascii="仿宋" w:hAnsi="仿宋" w:cs="仿宋"/>
          <w:color w:val="auto"/>
          <w:highlight w:val="none"/>
        </w:rPr>
        <w:t>.</w:t>
      </w:r>
      <w:r>
        <w:rPr>
          <w:rFonts w:hint="eastAsia" w:ascii="仿宋" w:hAnsi="仿宋" w:cs="仿宋"/>
          <w:color w:val="auto"/>
          <w:highlight w:val="none"/>
          <w:u w:val="single"/>
        </w:rPr>
        <w:t xml:space="preserve"> （玉石碑2）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13</w:t>
      </w:r>
      <w:r>
        <w:rPr>
          <w:rFonts w:hint="eastAsia" w:ascii="仿宋" w:hAnsi="仿宋" w:cs="仿宋"/>
          <w:color w:val="auto"/>
          <w:highlight w:val="none"/>
        </w:rPr>
        <w:t>.</w:t>
      </w:r>
      <w:r>
        <w:rPr>
          <w:rFonts w:hint="eastAsia" w:ascii="仿宋" w:hAnsi="仿宋" w:cs="仿宋"/>
          <w:color w:val="auto"/>
          <w:highlight w:val="none"/>
          <w:u w:val="single"/>
        </w:rPr>
        <w:t xml:space="preserve"> （玉石碑</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w:t>
      </w:r>
      <w:r>
        <w:rPr>
          <w:rFonts w:hint="eastAsia" w:ascii="仿宋" w:hAnsi="仿宋" w:cs="仿宋"/>
          <w:color w:val="auto"/>
          <w:highlight w:val="none"/>
        </w:rPr>
        <w:t>4.</w:t>
      </w:r>
      <w:r>
        <w:rPr>
          <w:rFonts w:hint="eastAsia" w:ascii="仿宋" w:hAnsi="仿宋" w:cs="仿宋"/>
          <w:color w:val="auto"/>
          <w:highlight w:val="none"/>
          <w:u w:val="single"/>
        </w:rPr>
        <w:t xml:space="preserve"> （玉石碑</w:t>
      </w:r>
      <w:r>
        <w:rPr>
          <w:rFonts w:hint="eastAsia" w:ascii="仿宋" w:hAnsi="仿宋" w:cs="仿宋"/>
          <w:color w:val="auto"/>
          <w:highlight w:val="none"/>
          <w:u w:val="single"/>
          <w:lang w:val="en-US" w:eastAsia="zh-CN"/>
        </w:rPr>
        <w:t>4</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15</w:t>
      </w:r>
      <w:r>
        <w:rPr>
          <w:rFonts w:hint="eastAsia" w:ascii="仿宋" w:hAnsi="仿宋" w:cs="仿宋"/>
          <w:color w:val="auto"/>
          <w:highlight w:val="none"/>
        </w:rPr>
        <w:t>.</w:t>
      </w:r>
      <w:r>
        <w:rPr>
          <w:rFonts w:hint="eastAsia" w:ascii="仿宋" w:hAnsi="仿宋" w:cs="仿宋"/>
          <w:color w:val="auto"/>
          <w:highlight w:val="none"/>
          <w:u w:val="single"/>
        </w:rPr>
        <w:t xml:space="preserve"> （骨灰盒1）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16</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2</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17</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18</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4</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19</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5</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20</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6</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21</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7</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22</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23</w:t>
      </w:r>
      <w:r>
        <w:rPr>
          <w:rFonts w:hint="eastAsia" w:ascii="仿宋" w:hAnsi="仿宋" w:cs="仿宋"/>
          <w:color w:val="auto"/>
          <w:highlight w:val="none"/>
        </w:rPr>
        <w:t>.</w:t>
      </w:r>
      <w:r>
        <w:rPr>
          <w:rFonts w:hint="eastAsia" w:ascii="仿宋" w:hAnsi="仿宋" w:cs="仿宋"/>
          <w:color w:val="auto"/>
          <w:highlight w:val="none"/>
          <w:u w:val="single"/>
        </w:rPr>
        <w:t xml:space="preserve"> （骨灰盒</w:t>
      </w:r>
      <w:r>
        <w:rPr>
          <w:rFonts w:hint="eastAsia" w:ascii="仿宋" w:hAnsi="仿宋" w:cs="仿宋"/>
          <w:color w:val="auto"/>
          <w:highlight w:val="none"/>
          <w:u w:val="single"/>
          <w:lang w:val="en-US" w:eastAsia="zh-CN"/>
        </w:rPr>
        <w:t>9</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w:t>
      </w:r>
      <w:r>
        <w:rPr>
          <w:rFonts w:hint="eastAsia" w:ascii="仿宋" w:hAnsi="仿宋" w:cs="仿宋"/>
          <w:color w:val="auto"/>
          <w:highlight w:val="none"/>
        </w:rPr>
        <w:t>4.</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0</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25</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1</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26</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2</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27</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28</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4</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29</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5</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30</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6</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31</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7</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32</w:t>
      </w:r>
      <w:r>
        <w:rPr>
          <w:rFonts w:hint="eastAsia" w:ascii="仿宋" w:hAnsi="仿宋" w:cs="仿宋"/>
          <w:color w:val="auto"/>
          <w:highlight w:val="none"/>
        </w:rPr>
        <w:t>.</w:t>
      </w:r>
      <w:r>
        <w:rPr>
          <w:rFonts w:hint="eastAsia" w:ascii="仿宋" w:hAnsi="仿宋" w:cs="仿宋"/>
          <w:color w:val="auto"/>
          <w:highlight w:val="none"/>
          <w:u w:val="single"/>
        </w:rPr>
        <w:t xml:space="preserve"> （骨灰盒1</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33</w:t>
      </w:r>
      <w:r>
        <w:rPr>
          <w:rFonts w:hint="eastAsia" w:ascii="仿宋" w:hAnsi="仿宋" w:cs="仿宋"/>
          <w:color w:val="auto"/>
          <w:highlight w:val="none"/>
        </w:rPr>
        <w:t>.</w:t>
      </w:r>
      <w:r>
        <w:rPr>
          <w:rFonts w:hint="eastAsia" w:ascii="仿宋" w:hAnsi="仿宋" w:cs="仿宋"/>
          <w:color w:val="auto"/>
          <w:highlight w:val="none"/>
          <w:u w:val="single"/>
        </w:rPr>
        <w:t xml:space="preserve"> （纸棺1）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34</w:t>
      </w:r>
      <w:r>
        <w:rPr>
          <w:rFonts w:hint="eastAsia" w:ascii="仿宋" w:hAnsi="仿宋" w:cs="仿宋"/>
          <w:color w:val="auto"/>
          <w:highlight w:val="none"/>
        </w:rPr>
        <w:t>.</w:t>
      </w:r>
      <w:r>
        <w:rPr>
          <w:rFonts w:hint="eastAsia" w:ascii="仿宋" w:hAnsi="仿宋" w:cs="仿宋"/>
          <w:color w:val="auto"/>
          <w:highlight w:val="none"/>
          <w:u w:val="single"/>
        </w:rPr>
        <w:t xml:space="preserve"> （纸棺</w:t>
      </w:r>
      <w:r>
        <w:rPr>
          <w:rFonts w:hint="eastAsia" w:ascii="仿宋" w:hAnsi="仿宋" w:cs="仿宋"/>
          <w:color w:val="auto"/>
          <w:highlight w:val="none"/>
          <w:u w:val="single"/>
          <w:lang w:val="en-US" w:eastAsia="zh-CN"/>
        </w:rPr>
        <w:t>2</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lang w:val="en-US" w:eastAsia="zh-CN"/>
        </w:rPr>
        <w:t>35</w:t>
      </w:r>
      <w:r>
        <w:rPr>
          <w:rFonts w:hint="eastAsia" w:ascii="仿宋" w:hAnsi="仿宋" w:cs="仿宋"/>
          <w:color w:val="auto"/>
          <w:highlight w:val="none"/>
        </w:rPr>
        <w:t>.</w:t>
      </w:r>
      <w:r>
        <w:rPr>
          <w:rFonts w:hint="eastAsia" w:ascii="仿宋" w:hAnsi="仿宋" w:cs="仿宋"/>
          <w:color w:val="auto"/>
          <w:highlight w:val="none"/>
          <w:u w:val="single"/>
        </w:rPr>
        <w:t xml:space="preserve"> （纸棺</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 xml:space="preserve">） </w:t>
      </w:r>
      <w:r>
        <w:rPr>
          <w:rFonts w:hint="eastAsia" w:ascii="仿宋" w:hAnsi="仿宋" w:cs="仿宋"/>
          <w:color w:val="auto"/>
          <w:highlight w:val="none"/>
        </w:rPr>
        <w:t>，属于</w:t>
      </w:r>
      <w:r>
        <w:rPr>
          <w:rFonts w:hint="eastAsia" w:ascii="仿宋" w:hAnsi="仿宋" w:cs="仿宋"/>
          <w:color w:val="auto"/>
          <w:highlight w:val="none"/>
          <w:u w:val="single"/>
        </w:rPr>
        <w:t xml:space="preserve">（采购文件中明确的所属行业：工业） </w:t>
      </w:r>
      <w:r>
        <w:rPr>
          <w:rFonts w:hint="eastAsia" w:ascii="仿宋" w:hAnsi="仿宋" w:cs="仿宋"/>
          <w:color w:val="auto"/>
          <w:highlight w:val="none"/>
        </w:rPr>
        <w:t>行业；制造商为</w:t>
      </w:r>
      <w:r>
        <w:rPr>
          <w:rFonts w:hint="eastAsia" w:ascii="仿宋" w:hAnsi="仿宋" w:cs="仿宋"/>
          <w:color w:val="auto"/>
          <w:highlight w:val="none"/>
          <w:u w:val="single"/>
        </w:rPr>
        <w:t>（企业名称）</w:t>
      </w:r>
      <w:r>
        <w:rPr>
          <w:rFonts w:hint="eastAsia" w:ascii="仿宋" w:hAnsi="仿宋" w:cs="仿宋"/>
          <w:color w:val="auto"/>
          <w:highlight w:val="none"/>
        </w:rPr>
        <w:t>，从业人员</w:t>
      </w:r>
      <w:r>
        <w:rPr>
          <w:rFonts w:hint="eastAsia" w:ascii="仿宋" w:hAnsi="仿宋" w:cs="仿宋"/>
          <w:color w:val="auto"/>
          <w:szCs w:val="21"/>
          <w:highlight w:val="none"/>
          <w:u w:val="single"/>
        </w:rPr>
        <w:t xml:space="preserve">     </w:t>
      </w:r>
      <w:r>
        <w:rPr>
          <w:rFonts w:hint="eastAsia" w:ascii="仿宋" w:hAnsi="仿宋" w:cs="仿宋"/>
          <w:color w:val="auto"/>
          <w:highlight w:val="none"/>
        </w:rPr>
        <w:t xml:space="preserve">人，营业收入为 </w:t>
      </w:r>
      <w:r>
        <w:rPr>
          <w:rFonts w:hint="eastAsia" w:ascii="仿宋" w:hAnsi="仿宋" w:cs="仿宋"/>
          <w:color w:val="auto"/>
          <w:highlight w:val="none"/>
          <w:u w:val="single"/>
        </w:rPr>
        <w:t xml:space="preserve">    </w:t>
      </w:r>
      <w:r>
        <w:rPr>
          <w:rFonts w:hint="eastAsia" w:ascii="仿宋" w:hAnsi="仿宋" w:cs="仿宋"/>
          <w:color w:val="auto"/>
          <w:highlight w:val="none"/>
        </w:rPr>
        <w:t>万元，资产总额为</w:t>
      </w:r>
      <w:r>
        <w:rPr>
          <w:rFonts w:hint="eastAsia" w:ascii="仿宋" w:hAnsi="仿宋" w:cs="仿宋"/>
          <w:color w:val="auto"/>
          <w:highlight w:val="none"/>
          <w:u w:val="single"/>
        </w:rPr>
        <w:t xml:space="preserve">    </w:t>
      </w:r>
      <w:r>
        <w:rPr>
          <w:rFonts w:hint="eastAsia" w:ascii="仿宋" w:hAnsi="仿宋" w:cs="仿宋"/>
          <w:color w:val="auto"/>
          <w:highlight w:val="none"/>
        </w:rPr>
        <w:t>万元，属于</w:t>
      </w:r>
      <w:r>
        <w:rPr>
          <w:rFonts w:hint="eastAsia" w:ascii="仿宋" w:hAnsi="仿宋" w:cs="仿宋"/>
          <w:color w:val="auto"/>
          <w:highlight w:val="none"/>
          <w:u w:val="single"/>
        </w:rPr>
        <w:t>（中型企业、小 型企业、微型企业）</w:t>
      </w:r>
      <w:r>
        <w:rPr>
          <w:rFonts w:hint="eastAsia" w:ascii="仿宋" w:hAnsi="仿宋" w:cs="仿宋"/>
          <w:color w:val="auto"/>
          <w:highlight w:val="none"/>
        </w:rPr>
        <w:t>；</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 xml:space="preserve">本企业对上述声明内容的真实性负责。如有虚假，将依法承担相应责任。 </w:t>
      </w:r>
    </w:p>
    <w:p>
      <w:pPr>
        <w:spacing w:line="480" w:lineRule="auto"/>
        <w:rPr>
          <w:rFonts w:hint="eastAsia" w:ascii="仿宋" w:hAnsi="仿宋" w:cs="仿宋"/>
          <w:color w:val="auto"/>
          <w:highlight w:val="none"/>
        </w:rPr>
      </w:pPr>
      <w:r>
        <w:rPr>
          <w:rFonts w:hint="eastAsia" w:ascii="仿宋" w:hAnsi="仿宋" w:cs="仿宋"/>
          <w:color w:val="auto"/>
          <w:highlight w:val="none"/>
        </w:rPr>
        <w:t>企业名称（盖章）：</w:t>
      </w:r>
    </w:p>
    <w:p>
      <w:pPr>
        <w:spacing w:line="480" w:lineRule="auto"/>
        <w:rPr>
          <w:rFonts w:hint="eastAsia" w:ascii="仿宋" w:hAnsi="仿宋" w:cs="仿宋"/>
          <w:color w:val="auto"/>
          <w:highlight w:val="none"/>
        </w:rPr>
      </w:pPr>
      <w:r>
        <w:rPr>
          <w:rFonts w:hint="eastAsia" w:ascii="仿宋" w:hAnsi="仿宋" w:cs="仿宋"/>
          <w:color w:val="auto"/>
          <w:highlight w:val="none"/>
        </w:rPr>
        <w:t>日 期：</w:t>
      </w:r>
    </w:p>
    <w:p>
      <w:pPr>
        <w:spacing w:line="480" w:lineRule="auto"/>
        <w:rPr>
          <w:rFonts w:hint="eastAsia" w:ascii="仿宋" w:hAnsi="仿宋" w:cs="仿宋"/>
          <w:color w:val="auto"/>
          <w:highlight w:val="none"/>
        </w:rPr>
      </w:pPr>
    </w:p>
    <w:p>
      <w:pPr>
        <w:widowControl/>
        <w:textAlignment w:val="baseline"/>
        <w:rPr>
          <w:rFonts w:hint="eastAsia" w:ascii="仿宋" w:hAnsi="仿宋" w:cs="仿宋"/>
          <w:color w:val="auto"/>
          <w:highlight w:val="none"/>
        </w:rPr>
      </w:pPr>
      <w:r>
        <w:rPr>
          <w:rFonts w:hint="eastAsia" w:ascii="仿宋" w:hAnsi="仿宋" w:cs="仿宋"/>
          <w:color w:val="auto"/>
          <w:highlight w:val="none"/>
        </w:rPr>
        <w:t>从业人员、营业收入、资产总额填报上一年数据，无上一年度数据的新成立企业可不填报。</w:t>
      </w:r>
    </w:p>
    <w:p>
      <w:pPr>
        <w:spacing w:line="480" w:lineRule="auto"/>
        <w:rPr>
          <w:rFonts w:hint="eastAsia" w:ascii="仿宋" w:hAnsi="仿宋" w:cs="仿宋"/>
          <w:color w:val="auto"/>
          <w:highlight w:val="none"/>
        </w:rPr>
      </w:pPr>
    </w:p>
    <w:p>
      <w:pPr>
        <w:spacing w:line="480" w:lineRule="auto"/>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pStyle w:val="2"/>
        <w:rPr>
          <w:rFonts w:hint="eastAsia" w:ascii="仿宋" w:hAnsi="仿宋" w:cs="仿宋"/>
          <w:b/>
          <w:bCs/>
          <w:color w:val="auto"/>
          <w:sz w:val="28"/>
          <w:szCs w:val="28"/>
          <w:highlight w:val="none"/>
        </w:rPr>
      </w:pPr>
    </w:p>
    <w:p>
      <w:pPr>
        <w:spacing w:line="480" w:lineRule="auto"/>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格式16</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残疾人福利性单位声明函</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本单位对上述声明的真实性负责。如有虚假，将依法承担相应责任。</w:t>
      </w:r>
    </w:p>
    <w:tbl>
      <w:tblPr>
        <w:tblStyle w:val="25"/>
        <w:tblW w:w="83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 w:hAnsi="仿宋" w:cs="仿宋"/>
                <w:color w:val="auto"/>
                <w:highlight w:val="none"/>
              </w:rPr>
            </w:pPr>
            <w:r>
              <w:rPr>
                <w:rFonts w:hint="eastAsia" w:ascii="仿宋" w:hAnsi="仿宋" w:cs="仿宋"/>
                <w:color w:val="auto"/>
                <w:highlight w:val="none"/>
              </w:rPr>
              <w:t>序号</w:t>
            </w:r>
          </w:p>
        </w:tc>
        <w:tc>
          <w:tcPr>
            <w:tcW w:w="1582" w:type="dxa"/>
            <w:vAlign w:val="center"/>
          </w:tcPr>
          <w:p>
            <w:pPr>
              <w:jc w:val="center"/>
              <w:rPr>
                <w:rFonts w:hint="eastAsia" w:ascii="仿宋" w:hAnsi="仿宋" w:cs="仿宋"/>
                <w:color w:val="auto"/>
                <w:highlight w:val="none"/>
              </w:rPr>
            </w:pPr>
            <w:r>
              <w:rPr>
                <w:rFonts w:hint="eastAsia" w:ascii="仿宋" w:hAnsi="仿宋" w:cs="仿宋"/>
                <w:color w:val="auto"/>
                <w:highlight w:val="none"/>
              </w:rPr>
              <w:t>品  名</w:t>
            </w:r>
          </w:p>
        </w:tc>
        <w:tc>
          <w:tcPr>
            <w:tcW w:w="1587" w:type="dxa"/>
            <w:vAlign w:val="center"/>
          </w:tcPr>
          <w:p>
            <w:pPr>
              <w:widowControl/>
              <w:jc w:val="center"/>
              <w:rPr>
                <w:rFonts w:hint="eastAsia" w:ascii="仿宋" w:hAnsi="仿宋" w:cs="仿宋"/>
                <w:color w:val="auto"/>
                <w:highlight w:val="none"/>
              </w:rPr>
            </w:pPr>
            <w:r>
              <w:rPr>
                <w:rFonts w:hint="eastAsia" w:ascii="仿宋" w:hAnsi="仿宋" w:cs="仿宋"/>
                <w:color w:val="auto"/>
                <w:highlight w:val="none"/>
              </w:rPr>
              <w:t>数量</w:t>
            </w:r>
          </w:p>
        </w:tc>
        <w:tc>
          <w:tcPr>
            <w:tcW w:w="1427" w:type="dxa"/>
            <w:vAlign w:val="center"/>
          </w:tcPr>
          <w:p>
            <w:pPr>
              <w:jc w:val="center"/>
              <w:rPr>
                <w:rFonts w:hint="eastAsia" w:ascii="仿宋" w:hAnsi="仿宋" w:cs="仿宋"/>
                <w:color w:val="auto"/>
                <w:highlight w:val="none"/>
              </w:rPr>
            </w:pPr>
            <w:r>
              <w:rPr>
                <w:rFonts w:hint="eastAsia" w:ascii="仿宋" w:hAnsi="仿宋" w:cs="仿宋"/>
                <w:color w:val="auto"/>
                <w:highlight w:val="none"/>
              </w:rPr>
              <w:t>规格</w:t>
            </w:r>
          </w:p>
          <w:p>
            <w:pPr>
              <w:jc w:val="center"/>
              <w:rPr>
                <w:rFonts w:hint="eastAsia" w:ascii="仿宋" w:hAnsi="仿宋" w:cs="仿宋"/>
                <w:color w:val="auto"/>
                <w:highlight w:val="none"/>
              </w:rPr>
            </w:pPr>
            <w:r>
              <w:rPr>
                <w:rFonts w:hint="eastAsia" w:ascii="仿宋" w:hAnsi="仿宋" w:cs="仿宋"/>
                <w:color w:val="auto"/>
                <w:highlight w:val="none"/>
              </w:rPr>
              <w:t>型号</w:t>
            </w:r>
          </w:p>
        </w:tc>
        <w:tc>
          <w:tcPr>
            <w:tcW w:w="1427" w:type="dxa"/>
            <w:vAlign w:val="center"/>
          </w:tcPr>
          <w:p>
            <w:pPr>
              <w:jc w:val="center"/>
              <w:rPr>
                <w:rFonts w:hint="eastAsia" w:ascii="仿宋" w:hAnsi="仿宋" w:cs="仿宋"/>
                <w:color w:val="auto"/>
                <w:highlight w:val="none"/>
              </w:rPr>
            </w:pPr>
            <w:r>
              <w:rPr>
                <w:rFonts w:hint="eastAsia" w:ascii="仿宋" w:hAnsi="仿宋" w:cs="仿宋"/>
                <w:color w:val="auto"/>
                <w:highlight w:val="none"/>
              </w:rPr>
              <w:t>生产</w:t>
            </w:r>
          </w:p>
          <w:p>
            <w:pPr>
              <w:jc w:val="center"/>
              <w:rPr>
                <w:rFonts w:hint="eastAsia" w:ascii="仿宋" w:hAnsi="仿宋" w:cs="仿宋"/>
                <w:color w:val="auto"/>
                <w:highlight w:val="none"/>
              </w:rPr>
            </w:pPr>
            <w:r>
              <w:rPr>
                <w:rFonts w:hint="eastAsia" w:ascii="仿宋" w:hAnsi="仿宋" w:cs="仿宋"/>
                <w:color w:val="auto"/>
                <w:highlight w:val="none"/>
              </w:rPr>
              <w:t>厂家</w:t>
            </w:r>
          </w:p>
        </w:tc>
        <w:tc>
          <w:tcPr>
            <w:tcW w:w="1344" w:type="dxa"/>
            <w:vAlign w:val="center"/>
          </w:tcPr>
          <w:p>
            <w:pPr>
              <w:jc w:val="center"/>
              <w:rPr>
                <w:rFonts w:hint="eastAsia" w:ascii="仿宋" w:hAnsi="仿宋" w:cs="仿宋"/>
                <w:color w:val="auto"/>
                <w:highlight w:val="none"/>
              </w:rPr>
            </w:pPr>
            <w:r>
              <w:rPr>
                <w:rFonts w:hint="eastAsia" w:ascii="仿宋" w:hAnsi="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highlight w:val="none"/>
              </w:rPr>
            </w:pPr>
            <w:r>
              <w:rPr>
                <w:rFonts w:hint="eastAsia" w:ascii="仿宋" w:hAnsi="仿宋" w:cs="仿宋"/>
                <w:color w:val="auto"/>
                <w:highlight w:val="none"/>
              </w:rPr>
              <w:t>1</w:t>
            </w:r>
          </w:p>
        </w:tc>
        <w:tc>
          <w:tcPr>
            <w:tcW w:w="1582" w:type="dxa"/>
            <w:vAlign w:val="center"/>
          </w:tcPr>
          <w:p>
            <w:pPr>
              <w:jc w:val="center"/>
              <w:rPr>
                <w:rFonts w:hint="eastAsia" w:ascii="仿宋" w:hAnsi="仿宋" w:cs="仿宋"/>
                <w:color w:val="auto"/>
                <w:highlight w:val="none"/>
              </w:rPr>
            </w:pPr>
          </w:p>
        </w:tc>
        <w:tc>
          <w:tcPr>
            <w:tcW w:w="158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344" w:type="dxa"/>
            <w:vAlign w:val="center"/>
          </w:tcPr>
          <w:p>
            <w:pPr>
              <w:spacing w:line="360" w:lineRule="auto"/>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highlight w:val="none"/>
              </w:rPr>
            </w:pPr>
            <w:r>
              <w:rPr>
                <w:rFonts w:hint="eastAsia" w:ascii="仿宋" w:hAnsi="仿宋" w:cs="仿宋"/>
                <w:color w:val="auto"/>
                <w:highlight w:val="none"/>
              </w:rPr>
              <w:t>2</w:t>
            </w:r>
          </w:p>
        </w:tc>
        <w:tc>
          <w:tcPr>
            <w:tcW w:w="1582" w:type="dxa"/>
            <w:vAlign w:val="center"/>
          </w:tcPr>
          <w:p>
            <w:pPr>
              <w:jc w:val="center"/>
              <w:rPr>
                <w:rFonts w:hint="eastAsia" w:ascii="仿宋" w:hAnsi="仿宋" w:cs="仿宋"/>
                <w:color w:val="auto"/>
                <w:highlight w:val="none"/>
              </w:rPr>
            </w:pPr>
          </w:p>
        </w:tc>
        <w:tc>
          <w:tcPr>
            <w:tcW w:w="158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344" w:type="dxa"/>
            <w:vAlign w:val="center"/>
          </w:tcPr>
          <w:p>
            <w:pPr>
              <w:spacing w:line="360" w:lineRule="auto"/>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highlight w:val="none"/>
              </w:rPr>
            </w:pPr>
            <w:r>
              <w:rPr>
                <w:rFonts w:hint="eastAsia" w:ascii="仿宋" w:hAnsi="仿宋" w:cs="仿宋"/>
                <w:color w:val="auto"/>
                <w:highlight w:val="none"/>
              </w:rPr>
              <w:t>3</w:t>
            </w:r>
          </w:p>
        </w:tc>
        <w:tc>
          <w:tcPr>
            <w:tcW w:w="1582" w:type="dxa"/>
            <w:vAlign w:val="center"/>
          </w:tcPr>
          <w:p>
            <w:pPr>
              <w:jc w:val="center"/>
              <w:rPr>
                <w:rFonts w:hint="eastAsia" w:ascii="仿宋" w:hAnsi="仿宋" w:cs="仿宋"/>
                <w:color w:val="auto"/>
                <w:highlight w:val="none"/>
              </w:rPr>
            </w:pPr>
          </w:p>
        </w:tc>
        <w:tc>
          <w:tcPr>
            <w:tcW w:w="158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344" w:type="dxa"/>
            <w:vAlign w:val="center"/>
          </w:tcPr>
          <w:p>
            <w:pPr>
              <w:spacing w:line="360" w:lineRule="auto"/>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highlight w:val="none"/>
              </w:rPr>
            </w:pPr>
            <w:r>
              <w:rPr>
                <w:rFonts w:hint="eastAsia" w:ascii="仿宋" w:hAnsi="仿宋" w:cs="仿宋"/>
                <w:color w:val="auto"/>
                <w:highlight w:val="none"/>
              </w:rPr>
              <w:t>……</w:t>
            </w:r>
          </w:p>
        </w:tc>
        <w:tc>
          <w:tcPr>
            <w:tcW w:w="1582" w:type="dxa"/>
            <w:vAlign w:val="center"/>
          </w:tcPr>
          <w:p>
            <w:pPr>
              <w:jc w:val="center"/>
              <w:rPr>
                <w:rFonts w:hint="eastAsia" w:ascii="仿宋" w:hAnsi="仿宋" w:cs="仿宋"/>
                <w:color w:val="auto"/>
                <w:highlight w:val="none"/>
              </w:rPr>
            </w:pPr>
          </w:p>
        </w:tc>
        <w:tc>
          <w:tcPr>
            <w:tcW w:w="158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427" w:type="dxa"/>
            <w:vAlign w:val="center"/>
          </w:tcPr>
          <w:p>
            <w:pPr>
              <w:jc w:val="center"/>
              <w:rPr>
                <w:rFonts w:hint="eastAsia" w:ascii="仿宋" w:hAnsi="仿宋" w:cs="仿宋"/>
                <w:color w:val="auto"/>
                <w:highlight w:val="none"/>
              </w:rPr>
            </w:pPr>
          </w:p>
        </w:tc>
        <w:tc>
          <w:tcPr>
            <w:tcW w:w="1344" w:type="dxa"/>
            <w:vAlign w:val="center"/>
          </w:tcPr>
          <w:p>
            <w:pPr>
              <w:spacing w:line="360" w:lineRule="auto"/>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hint="eastAsia" w:ascii="仿宋" w:hAnsi="仿宋" w:cs="仿宋"/>
                <w:color w:val="auto"/>
                <w:highlight w:val="none"/>
              </w:rPr>
            </w:pPr>
            <w:r>
              <w:rPr>
                <w:rFonts w:hint="eastAsia" w:ascii="仿宋" w:hAnsi="仿宋" w:cs="仿宋"/>
                <w:b/>
                <w:bCs/>
                <w:color w:val="auto"/>
                <w:highlight w:val="none"/>
                <w:lang w:val="zh-CN"/>
              </w:rPr>
              <w:t>投标文件中所提供投标的以上伴随产品为我单位生产的产品，</w:t>
            </w:r>
            <w:r>
              <w:rPr>
                <w:rFonts w:hint="eastAsia" w:ascii="仿宋" w:hAnsi="仿宋" w:cs="仿宋"/>
                <w:b/>
                <w:bCs/>
                <w:color w:val="auto"/>
                <w:highlight w:val="none"/>
              </w:rPr>
              <w:t>如有虚假</w:t>
            </w:r>
            <w:r>
              <w:rPr>
                <w:rFonts w:hint="eastAsia" w:ascii="仿宋" w:hAnsi="仿宋" w:cs="仿宋"/>
                <w:b/>
                <w:bCs/>
                <w:color w:val="auto"/>
                <w:highlight w:val="none"/>
                <w:lang w:val="zh-CN"/>
              </w:rPr>
              <w:t>，我单位承担由此产生的一切后果</w:t>
            </w:r>
            <w:r>
              <w:rPr>
                <w:rFonts w:hint="eastAsia" w:ascii="仿宋" w:hAnsi="仿宋" w:cs="仿宋"/>
                <w:color w:val="auto"/>
                <w:highlight w:val="none"/>
                <w:lang w:val="zh-CN"/>
              </w:rPr>
              <w:t>。</w:t>
            </w:r>
          </w:p>
        </w:tc>
      </w:tr>
    </w:tbl>
    <w:p>
      <w:pPr>
        <w:adjustRightInd w:val="0"/>
        <w:snapToGrid w:val="0"/>
        <w:spacing w:line="360" w:lineRule="auto"/>
        <w:ind w:right="105" w:rightChars="50" w:firstLine="476" w:firstLineChars="227"/>
        <w:jc w:val="left"/>
        <w:rPr>
          <w:rFonts w:hint="eastAsia" w:ascii="仿宋" w:hAnsi="仿宋" w:cs="仿宋"/>
          <w:color w:val="auto"/>
          <w:highlight w:val="none"/>
        </w:rPr>
      </w:pP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注：1、供应商为非残疾人福利性单位的，无需填写此声明函。</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仿宋" w:hAnsi="仿宋" w:cs="仿宋"/>
          <w:color w:val="auto"/>
          <w:highlight w:val="none"/>
        </w:rPr>
      </w:pPr>
      <w:r>
        <w:rPr>
          <w:rFonts w:hint="eastAsia" w:ascii="仿宋" w:hAnsi="仿宋" w:cs="仿宋"/>
          <w:color w:val="auto"/>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仿宋" w:hAnsi="仿宋" w:cs="仿宋"/>
          <w:color w:val="auto"/>
          <w:highlight w:val="none"/>
        </w:rPr>
      </w:pPr>
    </w:p>
    <w:p>
      <w:pPr>
        <w:adjustRightInd w:val="0"/>
        <w:snapToGrid w:val="0"/>
        <w:spacing w:line="360" w:lineRule="auto"/>
        <w:ind w:right="105" w:rightChars="50"/>
        <w:jc w:val="left"/>
        <w:rPr>
          <w:rFonts w:hint="eastAsia" w:ascii="仿宋" w:hAnsi="仿宋" w:cs="仿宋"/>
          <w:color w:val="auto"/>
          <w:highlight w:val="none"/>
        </w:rPr>
      </w:pPr>
    </w:p>
    <w:p>
      <w:pPr>
        <w:adjustRightInd w:val="0"/>
        <w:snapToGrid w:val="0"/>
        <w:spacing w:line="360" w:lineRule="auto"/>
        <w:ind w:right="105" w:rightChars="50"/>
        <w:jc w:val="left"/>
        <w:rPr>
          <w:rFonts w:hint="eastAsia" w:ascii="仿宋" w:hAnsi="仿宋" w:cs="仿宋"/>
          <w:color w:val="auto"/>
          <w:highlight w:val="none"/>
        </w:rPr>
      </w:pPr>
    </w:p>
    <w:p>
      <w:pPr>
        <w:adjustRightInd w:val="0"/>
        <w:snapToGrid w:val="0"/>
        <w:spacing w:line="480" w:lineRule="auto"/>
        <w:ind w:right="105" w:rightChars="50"/>
        <w:jc w:val="left"/>
        <w:rPr>
          <w:rFonts w:hint="eastAsia" w:ascii="仿宋" w:hAnsi="仿宋" w:cs="仿宋"/>
          <w:color w:val="auto"/>
          <w:highlight w:val="none"/>
        </w:rPr>
      </w:pPr>
      <w:r>
        <w:rPr>
          <w:rFonts w:hint="eastAsia" w:ascii="仿宋" w:hAnsi="仿宋" w:cs="仿宋"/>
          <w:color w:val="auto"/>
          <w:highlight w:val="none"/>
        </w:rPr>
        <w:t>投标人名称（加盖单位公章）：</w:t>
      </w:r>
    </w:p>
    <w:p>
      <w:pPr>
        <w:adjustRightInd w:val="0"/>
        <w:snapToGrid w:val="0"/>
        <w:spacing w:line="480" w:lineRule="auto"/>
        <w:ind w:right="105" w:rightChars="50"/>
        <w:jc w:val="left"/>
        <w:rPr>
          <w:rFonts w:hint="eastAsia" w:ascii="仿宋" w:hAnsi="仿宋" w:cs="仿宋"/>
          <w:b/>
          <w:bCs/>
          <w:color w:val="auto"/>
          <w:sz w:val="28"/>
          <w:szCs w:val="28"/>
          <w:highlight w:val="none"/>
        </w:rPr>
      </w:pPr>
      <w:r>
        <w:rPr>
          <w:rFonts w:hint="eastAsia" w:ascii="仿宋" w:hAnsi="仿宋" w:cs="仿宋"/>
          <w:color w:val="auto"/>
          <w:highlight w:val="none"/>
        </w:rPr>
        <w:t>日 期：</w:t>
      </w:r>
    </w:p>
    <w:p>
      <w:pPr>
        <w:pStyle w:val="31"/>
        <w:rPr>
          <w:rFonts w:hint="eastAsia" w:ascii="仿宋" w:hAnsi="仿宋" w:eastAsia="仿宋" w:cs="仿宋"/>
          <w:color w:val="auto"/>
          <w:highlight w:val="none"/>
        </w:rPr>
      </w:pPr>
    </w:p>
    <w:p>
      <w:pPr>
        <w:rPr>
          <w:rFonts w:hint="eastAsia" w:ascii="仿宋" w:hAnsi="仿宋" w:cs="仿宋"/>
          <w:color w:val="auto"/>
          <w:highlight w:val="none"/>
        </w:rPr>
      </w:pPr>
    </w:p>
    <w:p>
      <w:pPr>
        <w:pStyle w:val="23"/>
        <w:ind w:firstLine="0" w:firstLineChars="0"/>
        <w:jc w:val="both"/>
        <w:rPr>
          <w:rFonts w:hint="eastAsia" w:ascii="仿宋" w:hAnsi="仿宋" w:eastAsia="仿宋" w:cs="仿宋"/>
          <w:color w:val="auto"/>
          <w:highlight w:val="none"/>
        </w:rPr>
      </w:pPr>
    </w:p>
    <w:p>
      <w:pPr>
        <w:pStyle w:val="3"/>
        <w:snapToGrid w:val="0"/>
        <w:spacing w:before="312" w:beforeLines="100" w:after="312" w:afterLines="100" w:line="360" w:lineRule="auto"/>
        <w:rPr>
          <w:rFonts w:hint="eastAsia" w:ascii="仿宋" w:hAnsi="仿宋" w:cs="仿宋"/>
          <w:color w:val="auto"/>
          <w:highlight w:val="none"/>
        </w:rPr>
      </w:pPr>
      <w:bookmarkStart w:id="123" w:name="_Toc17590"/>
      <w:r>
        <w:rPr>
          <w:rFonts w:hint="eastAsia" w:ascii="仿宋" w:hAnsi="仿宋" w:cs="仿宋"/>
          <w:color w:val="auto"/>
          <w:highlight w:val="none"/>
        </w:rPr>
        <w:t>第三章 货物需求</w:t>
      </w:r>
      <w:bookmarkEnd w:id="122"/>
      <w:bookmarkEnd w:id="123"/>
    </w:p>
    <w:p>
      <w:pPr>
        <w:spacing w:line="360" w:lineRule="auto"/>
        <w:ind w:left="602"/>
        <w:rPr>
          <w:rFonts w:hint="eastAsia" w:ascii="仿宋" w:hAnsi="仿宋" w:cs="仿宋"/>
          <w:b/>
          <w:bCs/>
          <w:color w:val="auto"/>
          <w:szCs w:val="21"/>
          <w:highlight w:val="none"/>
        </w:rPr>
      </w:pPr>
      <w:r>
        <w:rPr>
          <w:rFonts w:hint="eastAsia" w:ascii="仿宋" w:hAnsi="仿宋" w:cs="仿宋"/>
          <w:b/>
          <w:bCs/>
          <w:color w:val="auto"/>
          <w:szCs w:val="21"/>
          <w:highlight w:val="none"/>
        </w:rPr>
        <w:t>详见格式12及格式13要求内容</w:t>
      </w:r>
    </w:p>
    <w:tbl>
      <w:tblPr>
        <w:tblStyle w:val="2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69"/>
        <w:gridCol w:w="2508"/>
        <w:gridCol w:w="2100"/>
        <w:gridCol w:w="12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产品名称</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材质</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产品规格</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最高限价</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花艺围棺（高档）</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鲜花：  菊花750支，银柳50捆，花艺造形为梯形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绢花：高档仿真造型花4盆</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长×宽（4.45×3.95m）</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00元/次</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花艺围棺（中档）</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鲜花： 菊花500支，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绢花：高档仿真造型花17盆</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长×宽（3.95×3.45m）</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00元/次</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尸床垫（耐火垫）</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陶瓷纤维布</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长×宽（200×62㎝）</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拣灰手套</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防烫麻手套</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长×宽（25×14㎝）</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元/副</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金砖</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耐高温砖</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长×宽×高（23×18×14㎝）</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0元/箱</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防尘罩、垫</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亚麻布、毛绒毯，布</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长×宽（38×29㎝）</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0元/套</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骨灰袋</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牛筋布</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长×宽×高（29×16×28㎝）</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8</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包布</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双面绣花布</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长×宽（100×100㎝）</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跪拜垫</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纤维毯，布</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长×宽（71×62㎝）</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纳骨托盘</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不锈钢</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长×宽×高（47×36×7㎝）</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00元/套</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11</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玉石碑1</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长×宽×高（9.5×4×16.5㎝）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12</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玉石碑2</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长×宽×高（9.5×5×16.5㎝）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36</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13</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玉石碑3</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长×宽×高（12×8×20㎝）</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56</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14</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玉石碑4</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主材质：岫岩玉石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辅料：合成黑板</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长×宽×高（9.5×4×16.5㎝）</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15</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杂木或科技木类</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骨灰盒2</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 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42</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17</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骨灰盒3</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 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70</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18</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骨灰盒4</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红铁檀</w:t>
            </w:r>
            <w:r>
              <w:rPr>
                <w:rFonts w:hint="eastAsia" w:ascii="仿宋" w:hAnsi="仿宋" w:eastAsia="仿宋" w:cs="仿宋"/>
                <w:color w:val="auto"/>
                <w:sz w:val="21"/>
                <w:szCs w:val="21"/>
                <w:highlight w:val="none"/>
              </w:rPr>
              <w:t>（学名：翼红铁木）</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19</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骨灰盒5</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亚花梨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非洲花梨木</w:t>
            </w:r>
            <w:r>
              <w:rPr>
                <w:rFonts w:hint="eastAsia" w:ascii="仿宋" w:hAnsi="仿宋" w:eastAsia="仿宋" w:cs="仿宋"/>
                <w:color w:val="auto"/>
                <w:sz w:val="21"/>
                <w:szCs w:val="21"/>
                <w:highlight w:val="none"/>
              </w:rPr>
              <w:t>）、龙凤檀（学名：香二翅豆）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蓝田玉</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106</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骨灰盒6</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w:t>
            </w:r>
            <w:r>
              <w:rPr>
                <w:rFonts w:hint="eastAsia" w:ascii="仿宋" w:hAnsi="仿宋" w:eastAsia="仿宋" w:cs="仿宋"/>
                <w:color w:val="auto"/>
                <w:sz w:val="21"/>
                <w:szCs w:val="21"/>
                <w:highlight w:val="none"/>
                <w:lang w:val="en-US" w:eastAsia="zh-CN"/>
              </w:rPr>
              <w:t>巴花</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古夷苏木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蓝田玉</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21</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骨灰盒7</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非洲花梨木（学名：刺猬紫檀）、风车木（学名：黑紫檀）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98</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22</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骨灰盒8</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236</w:t>
            </w:r>
            <w:r>
              <w:rPr>
                <w:rFonts w:hint="eastAsia" w:ascii="仿宋" w:hAnsi="仿宋" w:eastAsia="仿宋" w:cs="仿宋"/>
                <w:color w:val="auto"/>
                <w:sz w:val="21"/>
                <w:szCs w:val="21"/>
                <w:highlight w:val="none"/>
              </w:rPr>
              <w:t>0元/个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23</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骨灰盒9</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24</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骨灰盒10</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大果紫檀（学名：缅甸花梨木）、</w:t>
            </w:r>
            <w:r>
              <w:rPr>
                <w:rFonts w:hint="eastAsia" w:ascii="仿宋" w:hAnsi="仿宋" w:eastAsia="仿宋" w:cs="仿宋"/>
                <w:color w:val="auto"/>
                <w:sz w:val="21"/>
                <w:szCs w:val="21"/>
                <w:highlight w:val="none"/>
                <w:lang w:val="en-US" w:eastAsia="zh-CN"/>
              </w:rPr>
              <w:t>血檀（学名：染料紫檀）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25</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骨灰盒11</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黑酸枝（学名：阔叶黄檀）</w:t>
            </w:r>
            <w:r>
              <w:rPr>
                <w:rFonts w:hint="eastAsia" w:ascii="仿宋" w:hAnsi="仿宋" w:eastAsia="仿宋" w:cs="仿宋"/>
                <w:color w:val="auto"/>
                <w:sz w:val="21"/>
                <w:szCs w:val="21"/>
                <w:highlight w:val="none"/>
                <w:lang w:val="en-US" w:eastAsia="zh-CN"/>
              </w:rPr>
              <w:t>红酸枝</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微凹黄檀</w:t>
            </w:r>
            <w:r>
              <w:rPr>
                <w:rFonts w:hint="eastAsia" w:ascii="仿宋" w:hAnsi="仿宋" w:eastAsia="仿宋" w:cs="仿宋"/>
                <w:color w:val="auto"/>
                <w:sz w:val="21"/>
                <w:szCs w:val="21"/>
                <w:highlight w:val="none"/>
              </w:rPr>
              <w:t>）</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26</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骨灰盒12</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微凹黄檀（学名：红酸枝）、东非黑黄檀（学名：紫光檀）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27</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骨灰盒13</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微凹黄檀（学名：红酸枝）、东非黑黄檀（学名：紫光檀）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28</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骨灰盒14</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杂木或硬木</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600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骨灰盒15</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波罗格</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印茄木</w:t>
            </w: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圆盘豆（学名：</w:t>
            </w:r>
            <w:r>
              <w:rPr>
                <w:rFonts w:hint="eastAsia" w:ascii="仿宋" w:hAnsi="仿宋" w:eastAsia="仿宋" w:cs="仿宋"/>
                <w:color w:val="auto"/>
                <w:sz w:val="21"/>
                <w:szCs w:val="21"/>
                <w:highlight w:val="none"/>
                <w:lang w:val="en-US" w:eastAsia="zh-CN"/>
              </w:rPr>
              <w:t>绿柄桑</w:t>
            </w:r>
            <w:r>
              <w:rPr>
                <w:rFonts w:hint="eastAsia" w:ascii="仿宋" w:hAnsi="仿宋" w:eastAsia="仿宋" w:cs="仿宋"/>
                <w:color w:val="auto"/>
                <w:sz w:val="21"/>
                <w:szCs w:val="21"/>
                <w:highlight w:val="none"/>
              </w:rPr>
              <w:t>）</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30</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骨灰盒16</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亚花梨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非洲花梨木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南美酸枝</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重蚁木</w:t>
            </w:r>
            <w:r>
              <w:rPr>
                <w:rFonts w:hint="eastAsia" w:ascii="仿宋" w:hAnsi="仿宋" w:eastAsia="仿宋" w:cs="仿宋"/>
                <w:color w:val="auto"/>
                <w:sz w:val="21"/>
                <w:szCs w:val="21"/>
                <w:highlight w:val="none"/>
              </w:rPr>
              <w:t>）</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31</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骨灰盒17</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非洲花梨木（学名：刺猬紫檀）、风车木（学名：黑紫檀）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骨灰盒1</w:t>
            </w:r>
            <w:r>
              <w:rPr>
                <w:rFonts w:hint="eastAsia" w:ascii="仿宋" w:hAnsi="仿宋" w:eastAsia="仿宋" w:cs="仿宋"/>
                <w:color w:val="auto"/>
                <w:sz w:val="21"/>
                <w:szCs w:val="21"/>
                <w:highlight w:val="none"/>
                <w:lang w:val="en-US" w:eastAsia="zh-CN"/>
              </w:rPr>
              <w:t>8</w:t>
            </w:r>
          </w:p>
        </w:tc>
        <w:tc>
          <w:tcPr>
            <w:tcW w:w="25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耶稣信仰盒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乌木</w:t>
            </w:r>
            <w:r>
              <w:rPr>
                <w:rFonts w:hint="eastAsia" w:ascii="仿宋" w:hAnsi="仿宋" w:eastAsia="仿宋" w:cs="仿宋"/>
                <w:color w:val="auto"/>
                <w:sz w:val="21"/>
                <w:szCs w:val="21"/>
                <w:highlight w:val="none"/>
              </w:rPr>
              <w:t>（学名：</w:t>
            </w:r>
            <w:r>
              <w:rPr>
                <w:rFonts w:hint="eastAsia" w:ascii="仿宋" w:hAnsi="仿宋" w:eastAsia="仿宋" w:cs="仿宋"/>
                <w:color w:val="auto"/>
                <w:sz w:val="21"/>
                <w:szCs w:val="21"/>
                <w:highlight w:val="none"/>
                <w:lang w:val="en-US" w:eastAsia="zh-CN"/>
              </w:rPr>
              <w:t>条纹乌木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白酸枝（学名：奥氏黄檀）</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外径小于等于长×宽×高（</w:t>
            </w:r>
            <w:r>
              <w:rPr>
                <w:rFonts w:hint="eastAsia" w:ascii="仿宋" w:hAnsi="仿宋" w:eastAsia="仿宋" w:cs="仿宋"/>
                <w:color w:val="auto"/>
                <w:sz w:val="21"/>
                <w:szCs w:val="21"/>
                <w:highlight w:val="none"/>
                <w:lang w:eastAsia="zh-CN"/>
              </w:rPr>
              <w:t>38×28×28</w:t>
            </w:r>
            <w:r>
              <w:rPr>
                <w:rFonts w:hint="eastAsia" w:ascii="仿宋" w:hAnsi="仿宋" w:eastAsia="仿宋" w:cs="仿宋"/>
                <w:color w:val="auto"/>
                <w:sz w:val="21"/>
                <w:szCs w:val="21"/>
                <w:highlight w:val="none"/>
              </w:rPr>
              <w:t>㎝）</w:t>
            </w: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5960</w:t>
            </w:r>
            <w:r>
              <w:rPr>
                <w:rFonts w:hint="eastAsia" w:ascii="仿宋" w:hAnsi="仿宋" w:eastAsia="仿宋" w:cs="仿宋"/>
                <w:color w:val="auto"/>
                <w:sz w:val="21"/>
                <w:szCs w:val="21"/>
                <w:highlight w:val="none"/>
              </w:rPr>
              <w:t>元/个</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纸棺1</w:t>
            </w:r>
          </w:p>
        </w:tc>
        <w:tc>
          <w:tcPr>
            <w:tcW w:w="25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纸质（2.0cm≥棺身纸质厚≥1.0cm）不含外饰厚度，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承重力≥150公斤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注：棺身包括（棺底及四个侧面）</w:t>
            </w:r>
          </w:p>
        </w:tc>
        <w:tc>
          <w:tcPr>
            <w:tcW w:w="21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185</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≤长≤190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底宽≤52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≤大头宽≤60</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大头高≤42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r>
              <w:rPr>
                <w:rFonts w:hint="eastAsia" w:ascii="仿宋" w:hAnsi="仿宋" w:eastAsia="仿宋" w:cs="仿宋"/>
                <w:color w:val="auto"/>
                <w:sz w:val="21"/>
                <w:szCs w:val="21"/>
                <w:highlight w:val="none"/>
                <w:lang w:val="en-US" w:eastAsia="zh-CN"/>
              </w:rPr>
              <w:t>cm</w:t>
            </w:r>
            <w:r>
              <w:rPr>
                <w:rFonts w:hint="eastAsia" w:ascii="仿宋" w:hAnsi="仿宋" w:eastAsia="仿宋" w:cs="仿宋"/>
                <w:color w:val="auto"/>
                <w:sz w:val="21"/>
                <w:szCs w:val="21"/>
                <w:highlight w:val="none"/>
              </w:rPr>
              <w:t>≤小头宽≤52</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小头高≤37</w:t>
            </w:r>
            <w:r>
              <w:rPr>
                <w:rFonts w:hint="eastAsia" w:ascii="仿宋" w:hAnsi="仿宋" w:eastAsia="仿宋" w:cs="仿宋"/>
                <w:color w:val="auto"/>
                <w:sz w:val="21"/>
                <w:szCs w:val="21"/>
                <w:highlight w:val="none"/>
                <w:lang w:val="en-US" w:eastAsia="zh-CN"/>
              </w:rPr>
              <w:t>cm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（该尺寸为纸棺内径规格）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rPr>
              <w:t>0元/个</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外观贴纸：采用“奠”字，供货时由采购人确定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纸棺2</w:t>
            </w:r>
          </w:p>
        </w:tc>
        <w:tc>
          <w:tcPr>
            <w:tcW w:w="2508"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vertAlign w:val="baseline"/>
              </w:rPr>
            </w:pPr>
          </w:p>
        </w:tc>
        <w:tc>
          <w:tcPr>
            <w:tcW w:w="2100"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vertAlign w:val="baseline"/>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56</w:t>
            </w:r>
            <w:r>
              <w:rPr>
                <w:rFonts w:hint="eastAsia" w:ascii="仿宋" w:hAnsi="仿宋" w:eastAsia="仿宋" w:cs="仿宋"/>
                <w:color w:val="auto"/>
                <w:sz w:val="21"/>
                <w:szCs w:val="21"/>
                <w:highlight w:val="none"/>
              </w:rPr>
              <w:t>0元/个</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外加红色绸缎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p>
        </w:tc>
        <w:tc>
          <w:tcPr>
            <w:tcW w:w="13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纸棺3</w:t>
            </w:r>
          </w:p>
        </w:tc>
        <w:tc>
          <w:tcPr>
            <w:tcW w:w="2508"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vertAlign w:val="baseline"/>
              </w:rPr>
            </w:pPr>
          </w:p>
        </w:tc>
        <w:tc>
          <w:tcPr>
            <w:tcW w:w="2100" w:type="dxa"/>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vertAlign w:val="baseline"/>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1160</w:t>
            </w:r>
            <w:r>
              <w:rPr>
                <w:rFonts w:hint="eastAsia" w:ascii="仿宋" w:hAnsi="仿宋" w:eastAsia="仿宋" w:cs="仿宋"/>
                <w:color w:val="auto"/>
                <w:sz w:val="21"/>
                <w:szCs w:val="21"/>
                <w:highlight w:val="none"/>
              </w:rPr>
              <w:t>元/个</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加真丝绒带花边，内衬绸布</w:t>
            </w:r>
          </w:p>
        </w:tc>
      </w:tr>
    </w:tbl>
    <w:p>
      <w:pPr>
        <w:spacing w:line="360" w:lineRule="auto"/>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spacing w:line="360" w:lineRule="auto"/>
        <w:ind w:left="602"/>
        <w:rPr>
          <w:rFonts w:hint="eastAsia" w:ascii="仿宋" w:hAnsi="仿宋" w:cs="仿宋"/>
          <w:b/>
          <w:bCs/>
          <w:color w:val="auto"/>
          <w:szCs w:val="21"/>
          <w:highlight w:val="none"/>
        </w:rPr>
      </w:pPr>
    </w:p>
    <w:p>
      <w:pPr>
        <w:pStyle w:val="3"/>
        <w:snapToGrid w:val="0"/>
        <w:spacing w:before="312" w:beforeLines="100" w:after="312" w:afterLines="100" w:line="360" w:lineRule="auto"/>
        <w:rPr>
          <w:rFonts w:hint="eastAsia" w:ascii="仿宋" w:hAnsi="仿宋" w:cs="仿宋"/>
          <w:color w:val="auto"/>
          <w:highlight w:val="none"/>
        </w:rPr>
      </w:pPr>
      <w:bookmarkStart w:id="124" w:name="_Toc25237"/>
      <w:bookmarkStart w:id="125" w:name="_Toc2821_WPSOffice_Level1"/>
      <w:r>
        <w:rPr>
          <w:rFonts w:hint="eastAsia" w:ascii="仿宋" w:hAnsi="仿宋" w:cs="仿宋"/>
          <w:color w:val="auto"/>
          <w:highlight w:val="none"/>
        </w:rPr>
        <w:t>第四章 评标方法</w:t>
      </w:r>
      <w:bookmarkEnd w:id="124"/>
      <w:bookmarkEnd w:id="125"/>
    </w:p>
    <w:p>
      <w:pPr>
        <w:adjustRightInd w:val="0"/>
        <w:snapToGrid w:val="0"/>
        <w:spacing w:line="360" w:lineRule="auto"/>
        <w:ind w:firstLine="420" w:firstLineChars="200"/>
        <w:rPr>
          <w:rFonts w:hint="eastAsia" w:ascii="仿宋" w:hAnsi="仿宋" w:cs="仿宋"/>
          <w:b/>
          <w:color w:val="auto"/>
          <w:kern w:val="0"/>
          <w:szCs w:val="21"/>
          <w:highlight w:val="none"/>
        </w:rPr>
      </w:pPr>
      <w:r>
        <w:rPr>
          <w:rFonts w:hint="eastAsia" w:ascii="仿宋" w:hAnsi="仿宋" w:cs="仿宋"/>
          <w:bCs/>
          <w:color w:val="auto"/>
          <w:kern w:val="0"/>
          <w:szCs w:val="21"/>
          <w:highlight w:val="none"/>
        </w:rPr>
        <w:t>本项目将按照招标文件第一章投标人须知中“六 开标及评标”、“七 确定中标”及本章的规定评标。</w:t>
      </w:r>
    </w:p>
    <w:p>
      <w:pPr>
        <w:adjustRightInd w:val="0"/>
        <w:snapToGrid w:val="0"/>
        <w:spacing w:line="360" w:lineRule="auto"/>
        <w:ind w:firstLine="422" w:firstLineChars="200"/>
        <w:rPr>
          <w:rFonts w:hint="eastAsia" w:ascii="仿宋" w:hAnsi="仿宋" w:cs="仿宋"/>
          <w:b/>
          <w:color w:val="auto"/>
          <w:kern w:val="0"/>
          <w:szCs w:val="21"/>
          <w:highlight w:val="none"/>
        </w:rPr>
      </w:pPr>
      <w:bookmarkStart w:id="126" w:name="_Toc22313_WPSOffice_Level2"/>
      <w:r>
        <w:rPr>
          <w:rFonts w:hint="eastAsia" w:ascii="仿宋" w:hAnsi="仿宋" w:cs="仿宋"/>
          <w:b/>
          <w:color w:val="auto"/>
          <w:kern w:val="0"/>
          <w:szCs w:val="21"/>
          <w:highlight w:val="none"/>
        </w:rPr>
        <w:t>一、评标方法</w:t>
      </w:r>
      <w:bookmarkEnd w:id="126"/>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本项目采用</w:t>
      </w:r>
      <w:r>
        <w:rPr>
          <w:rFonts w:hint="eastAsia" w:ascii="仿宋" w:hAnsi="仿宋" w:cs="仿宋"/>
          <w:color w:val="auto"/>
          <w:kern w:val="0"/>
          <w:szCs w:val="21"/>
          <w:highlight w:val="none"/>
          <w:u w:val="single"/>
        </w:rPr>
        <w:t>综合评分法</w:t>
      </w:r>
      <w:r>
        <w:rPr>
          <w:rFonts w:hint="eastAsia" w:ascii="仿宋" w:hAnsi="仿宋" w:cs="仿宋"/>
          <w:color w:val="auto"/>
          <w:kern w:val="0"/>
          <w:szCs w:val="21"/>
          <w:highlight w:val="none"/>
        </w:rPr>
        <w:t>进行评标。</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bookmarkStart w:id="127" w:name="_Toc21368_WPSOffice_Level2"/>
      <w:r>
        <w:rPr>
          <w:rFonts w:hint="eastAsia" w:ascii="仿宋" w:hAnsi="仿宋" w:cs="仿宋"/>
          <w:b/>
          <w:color w:val="auto"/>
          <w:kern w:val="0"/>
          <w:szCs w:val="21"/>
          <w:highlight w:val="none"/>
        </w:rPr>
        <w:t>二、评标原则及程序</w:t>
      </w:r>
      <w:bookmarkEnd w:id="127"/>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（一）评标原则</w:t>
      </w:r>
    </w:p>
    <w:p>
      <w:pPr>
        <w:adjustRightInd w:val="0"/>
        <w:snapToGrid w:val="0"/>
        <w:spacing w:line="360" w:lineRule="auto"/>
        <w:ind w:firstLine="420" w:firstLineChars="200"/>
        <w:textAlignment w:val="baseline"/>
        <w:rPr>
          <w:rFonts w:hint="eastAsia" w:ascii="仿宋" w:hAnsi="仿宋" w:cs="仿宋"/>
          <w:b/>
          <w:color w:val="auto"/>
          <w:kern w:val="0"/>
          <w:szCs w:val="21"/>
          <w:highlight w:val="none"/>
        </w:rPr>
      </w:pPr>
      <w:r>
        <w:rPr>
          <w:rFonts w:hint="eastAsia" w:ascii="仿宋" w:hAnsi="仿宋" w:cs="仿宋"/>
          <w:color w:val="auto"/>
          <w:kern w:val="0"/>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（二）评标程序</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★1、资格审查</w:t>
      </w:r>
    </w:p>
    <w:p>
      <w:pPr>
        <w:adjustRightInd w:val="0"/>
        <w:snapToGrid w:val="0"/>
        <w:spacing w:line="360" w:lineRule="auto"/>
        <w:ind w:firstLine="420" w:firstLineChars="200"/>
        <w:textAlignment w:val="baseline"/>
        <w:rPr>
          <w:rFonts w:hint="eastAsia" w:ascii="仿宋" w:hAnsi="仿宋" w:cs="仿宋"/>
          <w:color w:val="auto"/>
          <w:kern w:val="0"/>
          <w:szCs w:val="21"/>
          <w:highlight w:val="none"/>
        </w:rPr>
      </w:pPr>
      <w:r>
        <w:rPr>
          <w:rFonts w:hint="eastAsia" w:ascii="仿宋" w:hAnsi="仿宋" w:cs="仿宋"/>
          <w:color w:val="auto"/>
          <w:kern w:val="0"/>
          <w:szCs w:val="21"/>
          <w:highlight w:val="none"/>
        </w:rPr>
        <w:t>1.1详见投标人须知22条。资格审查表详见本章附件1。</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w:t>
      </w:r>
      <w:r>
        <w:rPr>
          <w:rFonts w:hint="eastAsia" w:ascii="仿宋" w:hAnsi="仿宋" w:cs="仿宋"/>
          <w:b/>
          <w:bCs/>
          <w:color w:val="auto"/>
          <w:kern w:val="0"/>
          <w:szCs w:val="21"/>
          <w:highlight w:val="none"/>
        </w:rPr>
        <w:t>2、符合性审查</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2.1详见投标人须知23条。符合性审查表详见本章附件2。</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3、样品及演示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3.1</w:t>
      </w:r>
      <w:r>
        <w:rPr>
          <w:rFonts w:hint="eastAsia" w:ascii="仿宋" w:hAnsi="仿宋" w:cs="仿宋"/>
          <w:color w:val="auto"/>
          <w:kern w:val="0"/>
          <w:szCs w:val="21"/>
          <w:highlight w:val="none"/>
        </w:rPr>
        <w:t>投标人须知表11.3条</w:t>
      </w:r>
      <w:r>
        <w:rPr>
          <w:rFonts w:hint="eastAsia" w:ascii="仿宋" w:hAnsi="仿宋" w:cs="仿宋"/>
          <w:color w:val="auto"/>
          <w:szCs w:val="21"/>
          <w:highlight w:val="none"/>
        </w:rPr>
        <w:t>中要求投标人提供样品或演示的，按照</w:t>
      </w:r>
      <w:r>
        <w:rPr>
          <w:rFonts w:hint="eastAsia" w:ascii="仿宋" w:hAnsi="仿宋" w:cs="仿宋"/>
          <w:color w:val="auto"/>
          <w:kern w:val="0"/>
          <w:szCs w:val="21"/>
          <w:highlight w:val="none"/>
        </w:rPr>
        <w:t>投标人须知表25.1条</w:t>
      </w:r>
      <w:r>
        <w:rPr>
          <w:rFonts w:hint="eastAsia" w:ascii="仿宋" w:hAnsi="仿宋" w:cs="仿宋"/>
          <w:color w:val="auto"/>
          <w:szCs w:val="21"/>
          <w:highlight w:val="none"/>
        </w:rPr>
        <w:t>中确定的评审方法以及评审标准进行评审。(样品或演示属于符合性审查的，按照</w:t>
      </w:r>
      <w:r>
        <w:rPr>
          <w:rFonts w:hint="eastAsia" w:ascii="仿宋" w:hAnsi="仿宋" w:cs="仿宋"/>
          <w:color w:val="auto"/>
          <w:kern w:val="0"/>
          <w:szCs w:val="21"/>
          <w:highlight w:val="none"/>
        </w:rPr>
        <w:t>投标人须知23条</w:t>
      </w:r>
      <w:r>
        <w:rPr>
          <w:rFonts w:hint="eastAsia" w:ascii="仿宋" w:hAnsi="仿宋" w:cs="仿宋"/>
          <w:color w:val="auto"/>
          <w:szCs w:val="21"/>
          <w:highlight w:val="none"/>
        </w:rPr>
        <w:t>规定执行）</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★4</w:t>
      </w:r>
      <w:r>
        <w:rPr>
          <w:rFonts w:hint="eastAsia" w:ascii="仿宋" w:hAnsi="仿宋" w:cs="仿宋"/>
          <w:b/>
          <w:bCs/>
          <w:color w:val="auto"/>
          <w:kern w:val="0"/>
          <w:szCs w:val="21"/>
          <w:highlight w:val="none"/>
        </w:rPr>
        <w:t>、同一品牌产品</w:t>
      </w:r>
    </w:p>
    <w:p>
      <w:pPr>
        <w:adjustRightInd w:val="0"/>
        <w:snapToGrid w:val="0"/>
        <w:spacing w:line="360" w:lineRule="auto"/>
        <w:ind w:firstLine="420" w:firstLineChars="200"/>
        <w:rPr>
          <w:rFonts w:hint="eastAsia" w:ascii="仿宋" w:hAnsi="仿宋" w:cs="仿宋"/>
          <w:b/>
          <w:bCs/>
          <w:color w:val="auto"/>
          <w:szCs w:val="21"/>
          <w:highlight w:val="none"/>
        </w:rPr>
      </w:pPr>
      <w:r>
        <w:rPr>
          <w:rFonts w:hint="eastAsia" w:ascii="仿宋" w:hAnsi="仿宋" w:cs="仿宋"/>
          <w:color w:val="auto"/>
          <w:szCs w:val="21"/>
          <w:highlight w:val="none"/>
        </w:rPr>
        <w:t>4.1通过资格审查、符合性审查的不同品牌投标人不足3家的，按照</w:t>
      </w:r>
      <w:r>
        <w:rPr>
          <w:rFonts w:hint="eastAsia" w:ascii="仿宋" w:hAnsi="仿宋" w:cs="仿宋"/>
          <w:color w:val="auto"/>
          <w:kern w:val="0"/>
          <w:szCs w:val="21"/>
          <w:highlight w:val="none"/>
        </w:rPr>
        <w:t>投标人须知28条第（1）款</w:t>
      </w:r>
      <w:r>
        <w:rPr>
          <w:rFonts w:hint="eastAsia" w:ascii="仿宋" w:hAnsi="仿宋" w:cs="仿宋"/>
          <w:color w:val="auto"/>
          <w:szCs w:val="21"/>
          <w:highlight w:val="none"/>
        </w:rPr>
        <w:t>执行</w:t>
      </w:r>
      <w:r>
        <w:rPr>
          <w:rFonts w:hint="eastAsia" w:ascii="仿宋" w:hAnsi="仿宋" w:cs="仿宋"/>
          <w:color w:val="auto"/>
          <w:kern w:val="0"/>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4.2提供相同品牌产品且通过资格审查、符合性审查的不同投标人，按一家投标人计算。</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4.3如一个分包内只有一种产品，不同投标人所投产品为同一品牌的，按如下方式处理：</w:t>
      </w:r>
    </w:p>
    <w:p>
      <w:pPr>
        <w:numPr>
          <w:ilvl w:val="0"/>
          <w:numId w:val="3"/>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如本项目使用最低评标价法，提供相同品牌产品的不同投标人以其中通过资格审查、符合性审查且报价最低的参加比较及评价；报价相同的，按</w:t>
      </w:r>
      <w:r>
        <w:rPr>
          <w:rFonts w:hint="eastAsia" w:ascii="仿宋" w:hAnsi="仿宋" w:cs="仿宋"/>
          <w:color w:val="auto"/>
          <w:kern w:val="0"/>
          <w:szCs w:val="21"/>
          <w:highlight w:val="none"/>
        </w:rPr>
        <w:t>本章第8条</w:t>
      </w:r>
      <w:r>
        <w:rPr>
          <w:rFonts w:hint="eastAsia" w:ascii="仿宋" w:hAnsi="仿宋" w:cs="仿宋"/>
          <w:color w:val="auto"/>
          <w:szCs w:val="21"/>
          <w:highlight w:val="none"/>
        </w:rPr>
        <w:t>“推荐中标候选人的原则”规定执行；未规定的采取随机抽取方式确定，其他</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4.4如一个分包内包含多种产品的，采购人或采购代理机构将在招标文件中载明核心产品，多家投标人提供的核心产品品牌相同的，</w:t>
      </w:r>
      <w:r>
        <w:rPr>
          <w:rFonts w:hint="eastAsia" w:ascii="仿宋" w:hAnsi="仿宋" w:cs="仿宋"/>
          <w:color w:val="auto"/>
          <w:kern w:val="0"/>
          <w:szCs w:val="21"/>
          <w:highlight w:val="none"/>
        </w:rPr>
        <w:t>按本章第4.3条规定处理。</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★5</w:t>
      </w:r>
      <w:r>
        <w:rPr>
          <w:rFonts w:hint="eastAsia" w:ascii="仿宋" w:hAnsi="仿宋" w:cs="仿宋"/>
          <w:b/>
          <w:bCs/>
          <w:color w:val="auto"/>
          <w:kern w:val="0"/>
          <w:szCs w:val="21"/>
          <w:highlight w:val="none"/>
        </w:rPr>
        <w:t>、比较及评价</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5.1评标委员会对通过符合性审查的投标文件进行比较和评价。</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5.2在评标期间，对投标文件的澄清按投标人须知24条内容执行。</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5.3评标委员会认为投标人的报价明显低于其他通过符合性审查的投标人报价，有可能影响产品质量或者不能诚信履约的，评标委员会应当要求其在评标现场合理的时间（</w:t>
      </w:r>
      <w:r>
        <w:rPr>
          <w:rFonts w:hint="eastAsia" w:ascii="仿宋" w:hAnsi="仿宋" w:cs="仿宋"/>
          <w:color w:val="auto"/>
          <w:kern w:val="0"/>
          <w:szCs w:val="21"/>
          <w:highlight w:val="none"/>
        </w:rPr>
        <w:t>接到通知后</w:t>
      </w:r>
      <w:r>
        <w:rPr>
          <w:rFonts w:hint="eastAsia" w:ascii="仿宋" w:hAnsi="仿宋" w:cs="仿宋"/>
          <w:color w:val="auto"/>
          <w:kern w:val="0"/>
          <w:szCs w:val="21"/>
          <w:highlight w:val="none"/>
          <w:u w:val="single"/>
        </w:rPr>
        <w:t xml:space="preserve">0.5 </w:t>
      </w:r>
      <w:r>
        <w:rPr>
          <w:rFonts w:hint="eastAsia" w:ascii="仿宋" w:hAnsi="仿宋" w:cs="仿宋"/>
          <w:color w:val="auto"/>
          <w:kern w:val="0"/>
          <w:szCs w:val="21"/>
          <w:highlight w:val="none"/>
        </w:rPr>
        <w:t>小时</w:t>
      </w:r>
      <w:r>
        <w:rPr>
          <w:rFonts w:hint="eastAsia" w:ascii="仿宋" w:hAnsi="仿宋" w:cs="仿宋"/>
          <w:color w:val="auto"/>
          <w:szCs w:val="21"/>
          <w:highlight w:val="none"/>
        </w:rPr>
        <w:t>）内提供书面说明，并提交相关证明材料，</w:t>
      </w:r>
      <w:r>
        <w:rPr>
          <w:rFonts w:hint="eastAsia" w:ascii="仿宋" w:hAnsi="仿宋" w:cs="仿宋"/>
          <w:color w:val="auto"/>
          <w:kern w:val="0"/>
          <w:szCs w:val="21"/>
          <w:highlight w:val="none"/>
        </w:rPr>
        <w:t>投标人不能证明其报价合理性的，评标委员会应当将</w:t>
      </w:r>
      <w:r>
        <w:rPr>
          <w:rFonts w:hint="eastAsia" w:ascii="仿宋" w:hAnsi="仿宋" w:cs="仿宋"/>
          <w:color w:val="auto"/>
          <w:szCs w:val="21"/>
          <w:highlight w:val="none"/>
        </w:rPr>
        <w:t>其投标作为</w:t>
      </w:r>
      <w:r>
        <w:rPr>
          <w:rFonts w:hint="eastAsia" w:ascii="仿宋" w:hAnsi="仿宋" w:cs="仿宋"/>
          <w:b/>
          <w:bCs/>
          <w:color w:val="auto"/>
          <w:szCs w:val="21"/>
          <w:highlight w:val="none"/>
        </w:rPr>
        <w:t>无效投标处理</w:t>
      </w:r>
      <w:r>
        <w:rPr>
          <w:rFonts w:hint="eastAsia" w:ascii="仿宋" w:hAnsi="仿宋" w:cs="仿宋"/>
          <w:color w:val="auto"/>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4"/>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拒绝或者变相拒绝提供有效书面说明；</w:t>
      </w:r>
    </w:p>
    <w:p>
      <w:pPr>
        <w:numPr>
          <w:ilvl w:val="0"/>
          <w:numId w:val="4"/>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书面说明不能证明其报价合理性的；</w:t>
      </w:r>
    </w:p>
    <w:p>
      <w:pPr>
        <w:numPr>
          <w:ilvl w:val="0"/>
          <w:numId w:val="4"/>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未在规定时间内递交有效书面说明书的。</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★6</w:t>
      </w:r>
      <w:r>
        <w:rPr>
          <w:rFonts w:hint="eastAsia" w:ascii="仿宋" w:hAnsi="仿宋" w:cs="仿宋"/>
          <w:b/>
          <w:bCs/>
          <w:color w:val="auto"/>
          <w:kern w:val="0"/>
          <w:szCs w:val="21"/>
          <w:highlight w:val="none"/>
        </w:rPr>
        <w:t>、需落实的政府采购政策性规定：</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6.1对于中小微企业的相关规定</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6.1.1对于非专门面向中小企业的项目，在满足价格扣除条件且在投标文件中按要求提交了《中小企业声明函》</w:t>
      </w:r>
      <w:r>
        <w:rPr>
          <w:rFonts w:hint="eastAsia" w:ascii="仿宋" w:hAnsi="仿宋" w:cs="仿宋"/>
          <w:color w:val="auto"/>
          <w:kern w:val="0"/>
          <w:szCs w:val="21"/>
          <w:highlight w:val="none"/>
        </w:rPr>
        <w:t>，投标人所投货物为其它企业生产时须提供此声明函，仅作为价格扣除条件）的，</w:t>
      </w:r>
      <w:r>
        <w:rPr>
          <w:rFonts w:hint="eastAsia" w:ascii="仿宋" w:hAnsi="仿宋" w:cs="仿宋"/>
          <w:color w:val="auto"/>
          <w:szCs w:val="21"/>
          <w:highlight w:val="none"/>
        </w:rPr>
        <w:t>对投标报价给予价格扣除，用扣除后的价格参与评审。投标报价扣除比例如下：</w:t>
      </w:r>
    </w:p>
    <w:p>
      <w:pPr>
        <w:adjustRightInd w:val="0"/>
        <w:snapToGrid w:val="0"/>
        <w:spacing w:line="360" w:lineRule="auto"/>
        <w:ind w:firstLine="210" w:firstLineChars="100"/>
        <w:jc w:val="left"/>
        <w:rPr>
          <w:rFonts w:hint="eastAsia" w:ascii="仿宋" w:hAnsi="仿宋" w:cs="仿宋"/>
          <w:color w:val="auto"/>
          <w:szCs w:val="21"/>
          <w:highlight w:val="none"/>
        </w:rPr>
      </w:pPr>
      <w:r>
        <w:rPr>
          <w:rFonts w:hint="eastAsia" w:ascii="仿宋" w:hAnsi="仿宋" w:cs="仿宋"/>
          <w:color w:val="auto"/>
          <w:szCs w:val="21"/>
          <w:highlight w:val="none"/>
        </w:rPr>
        <w:t>（1）非联合体投标</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 xml:space="preserve">       小型和微型企业相应产品、服务投标报价的10%</w:t>
      </w:r>
    </w:p>
    <w:p>
      <w:pPr>
        <w:adjustRightInd w:val="0"/>
        <w:snapToGrid w:val="0"/>
        <w:spacing w:line="360" w:lineRule="auto"/>
        <w:ind w:firstLine="210" w:firstLineChars="100"/>
        <w:jc w:val="left"/>
        <w:rPr>
          <w:rFonts w:hint="eastAsia" w:ascii="仿宋" w:hAnsi="仿宋" w:cs="仿宋"/>
          <w:color w:val="auto"/>
          <w:szCs w:val="21"/>
          <w:highlight w:val="none"/>
        </w:rPr>
      </w:pPr>
      <w:r>
        <w:rPr>
          <w:rFonts w:hint="eastAsia" w:ascii="仿宋" w:hAnsi="仿宋" w:cs="仿宋"/>
          <w:color w:val="auto"/>
          <w:szCs w:val="21"/>
          <w:highlight w:val="none"/>
        </w:rPr>
        <w:t>（2）联合体投标</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4%。</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6.1.2监狱企业视同小型、微型企业，在满足价格扣除条件且在投标文件中按要求提交了省级以上监狱管理局、戒毒管理局（含新疆生产建设兵团）出具的属于监狱企业的证明文件的，对其投标报价按本章6.1.1条款的比例予以扣除，</w:t>
      </w:r>
      <w:r>
        <w:rPr>
          <w:rFonts w:hint="eastAsia" w:ascii="仿宋" w:hAnsi="仿宋" w:cs="仿宋"/>
          <w:color w:val="auto"/>
          <w:kern w:val="0"/>
          <w:szCs w:val="21"/>
          <w:highlight w:val="none"/>
        </w:rPr>
        <w:t>用扣除后的价格参与评审</w:t>
      </w:r>
      <w:r>
        <w:rPr>
          <w:rFonts w:hint="eastAsia" w:ascii="仿宋" w:hAnsi="仿宋" w:cs="仿宋"/>
          <w:color w:val="auto"/>
          <w:szCs w:val="21"/>
          <w:highlight w:val="none"/>
        </w:rPr>
        <w:t>。</w:t>
      </w:r>
    </w:p>
    <w:p>
      <w:pPr>
        <w:adjustRightInd w:val="0"/>
        <w:snapToGrid w:val="0"/>
        <w:spacing w:line="360" w:lineRule="auto"/>
        <w:ind w:firstLine="422" w:firstLineChars="200"/>
        <w:jc w:val="left"/>
        <w:rPr>
          <w:rFonts w:hint="eastAsia" w:ascii="仿宋" w:hAnsi="仿宋" w:cs="仿宋"/>
          <w:color w:val="auto"/>
          <w:szCs w:val="21"/>
          <w:highlight w:val="none"/>
        </w:rPr>
      </w:pPr>
      <w:r>
        <w:rPr>
          <w:rFonts w:hint="eastAsia" w:ascii="仿宋" w:hAnsi="仿宋" w:cs="仿宋"/>
          <w:b/>
          <w:color w:val="auto"/>
          <w:kern w:val="0"/>
          <w:szCs w:val="21"/>
          <w:highlight w:val="none"/>
        </w:rPr>
        <w:t>6.1.3</w:t>
      </w:r>
      <w:r>
        <w:rPr>
          <w:rFonts w:hint="eastAsia" w:ascii="仿宋" w:hAnsi="仿宋" w:cs="仿宋"/>
          <w:color w:val="auto"/>
          <w:szCs w:val="21"/>
          <w:highlight w:val="none"/>
        </w:rPr>
        <w:t>残疾人福利性单位视同小型、微型企业，在满足价格扣除条件且在</w:t>
      </w:r>
      <w:r>
        <w:rPr>
          <w:rFonts w:hint="eastAsia" w:ascii="仿宋" w:hAnsi="仿宋" w:cs="仿宋"/>
          <w:color w:val="auto"/>
          <w:kern w:val="0"/>
          <w:szCs w:val="21"/>
          <w:highlight w:val="none"/>
        </w:rPr>
        <w:t>投标文件中提供了《残疾人福利性单位声明函》的，</w:t>
      </w:r>
      <w:r>
        <w:rPr>
          <w:rFonts w:hint="eastAsia" w:ascii="仿宋" w:hAnsi="仿宋" w:cs="仿宋"/>
          <w:color w:val="auto"/>
          <w:szCs w:val="21"/>
          <w:highlight w:val="none"/>
        </w:rPr>
        <w:t>对其投标报价按本章6.1.1条款的比例予以扣除</w:t>
      </w:r>
      <w:r>
        <w:rPr>
          <w:rFonts w:hint="eastAsia" w:ascii="仿宋" w:hAnsi="仿宋" w:cs="仿宋"/>
          <w:color w:val="auto"/>
          <w:kern w:val="0"/>
          <w:szCs w:val="21"/>
          <w:highlight w:val="none"/>
        </w:rPr>
        <w:t>，用扣除后的价格参与评审。</w:t>
      </w:r>
    </w:p>
    <w:p>
      <w:pPr>
        <w:adjustRightInd w:val="0"/>
        <w:snapToGrid w:val="0"/>
        <w:spacing w:line="360" w:lineRule="auto"/>
        <w:ind w:firstLine="422" w:firstLineChars="200"/>
        <w:rPr>
          <w:rFonts w:hint="eastAsia" w:ascii="仿宋" w:hAnsi="仿宋" w:cs="仿宋"/>
          <w:b/>
          <w:color w:val="auto"/>
          <w:szCs w:val="21"/>
          <w:highlight w:val="none"/>
        </w:rPr>
      </w:pPr>
      <w:r>
        <w:rPr>
          <w:rFonts w:hint="eastAsia" w:ascii="仿宋" w:hAnsi="仿宋" w:cs="仿宋"/>
          <w:b/>
          <w:color w:val="auto"/>
          <w:szCs w:val="21"/>
          <w:highlight w:val="none"/>
        </w:rPr>
        <w:t>6.1.4残疾人福利性单位属于小型、微型企业的，不重复享受政策。</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6.2对于节能产品、环境标志产品的相关规定</w:t>
      </w:r>
    </w:p>
    <w:p>
      <w:pPr>
        <w:numPr>
          <w:ilvl w:val="0"/>
          <w:numId w:val="5"/>
        </w:num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节能产品或环境标志产品，依据品目清单和认证证书实施政府优先采购。</w:t>
      </w:r>
      <w:r>
        <w:rPr>
          <w:rFonts w:hint="eastAsia" w:ascii="仿宋" w:hAnsi="仿宋" w:cs="仿宋"/>
          <w:color w:val="auto"/>
          <w:highlight w:val="none"/>
        </w:rPr>
        <w:t>供应商</w:t>
      </w:r>
      <w:r>
        <w:rPr>
          <w:rFonts w:hint="eastAsia" w:ascii="仿宋" w:hAnsi="仿宋" w:cs="仿宋"/>
          <w:color w:val="auto"/>
          <w:szCs w:val="21"/>
          <w:highlight w:val="none"/>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hint="eastAsia" w:ascii="仿宋" w:hAnsi="仿宋" w:cs="仿宋"/>
          <w:color w:val="auto"/>
          <w:szCs w:val="21"/>
          <w:highlight w:val="none"/>
        </w:rPr>
      </w:pPr>
      <w:r>
        <w:rPr>
          <w:rFonts w:hint="eastAsia" w:ascii="仿宋" w:hAnsi="仿宋" w:cs="仿宋"/>
          <w:color w:val="auto"/>
          <w:kern w:val="0"/>
          <w:szCs w:val="21"/>
          <w:highlight w:val="none"/>
        </w:rPr>
        <w:t>采用最低评标价法的，</w:t>
      </w:r>
      <w:r>
        <w:rPr>
          <w:rFonts w:hint="eastAsia" w:ascii="仿宋" w:hAnsi="仿宋" w:cs="仿宋"/>
          <w:color w:val="auto"/>
          <w:szCs w:val="21"/>
          <w:highlight w:val="none"/>
        </w:rPr>
        <w:t>对</w:t>
      </w:r>
      <w:r>
        <w:rPr>
          <w:rFonts w:hint="eastAsia" w:ascii="仿宋" w:hAnsi="仿宋" w:cs="仿宋"/>
          <w:color w:val="auto"/>
          <w:kern w:val="0"/>
          <w:szCs w:val="21"/>
          <w:highlight w:val="none"/>
        </w:rPr>
        <w:t>清单中投标产品的报价</w:t>
      </w:r>
      <w:r>
        <w:rPr>
          <w:rFonts w:hint="eastAsia" w:ascii="仿宋" w:hAnsi="仿宋" w:cs="仿宋"/>
          <w:color w:val="auto"/>
          <w:szCs w:val="21"/>
          <w:highlight w:val="none"/>
        </w:rPr>
        <w:t>给予价格扣除，用扣除后的价格参与评审。报价扣除比例为</w:t>
      </w:r>
      <w:r>
        <w:rPr>
          <w:rFonts w:hint="eastAsia" w:ascii="仿宋" w:hAnsi="仿宋" w:cs="仿宋"/>
          <w:color w:val="auto"/>
          <w:kern w:val="0"/>
          <w:szCs w:val="21"/>
          <w:highlight w:val="none"/>
        </w:rPr>
        <w:t>清单中产品报价的</w:t>
      </w:r>
      <w:r>
        <w:rPr>
          <w:rFonts w:hint="eastAsia" w:ascii="仿宋" w:hAnsi="仿宋" w:cs="仿宋"/>
          <w:color w:val="auto"/>
          <w:szCs w:val="21"/>
          <w:highlight w:val="none"/>
          <w:u w:val="single"/>
        </w:rPr>
        <w:t>2</w:t>
      </w:r>
      <w:r>
        <w:rPr>
          <w:rFonts w:hint="eastAsia" w:ascii="仿宋" w:hAnsi="仿宋" w:cs="仿宋"/>
          <w:color w:val="auto"/>
          <w:szCs w:val="21"/>
          <w:highlight w:val="none"/>
        </w:rPr>
        <w:t xml:space="preserve"> %。</w:t>
      </w:r>
    </w:p>
    <w:p>
      <w:pPr>
        <w:adjustRightInd w:val="0"/>
        <w:snapToGrid w:val="0"/>
        <w:spacing w:line="360" w:lineRule="auto"/>
        <w:ind w:firstLine="630" w:firstLineChars="300"/>
        <w:jc w:val="left"/>
        <w:rPr>
          <w:rFonts w:hint="eastAsia" w:ascii="仿宋" w:hAnsi="仿宋" w:cs="仿宋"/>
          <w:color w:val="auto"/>
          <w:szCs w:val="21"/>
          <w:highlight w:val="none"/>
        </w:rPr>
      </w:pPr>
      <w:r>
        <w:rPr>
          <w:rFonts w:hint="eastAsia" w:ascii="仿宋" w:hAnsi="仿宋" w:cs="仿宋"/>
          <w:color w:val="auto"/>
          <w:kern w:val="0"/>
          <w:szCs w:val="21"/>
          <w:highlight w:val="none"/>
        </w:rPr>
        <w:t>采用综合评分法评标的项目，对清单中产品给予相应的加分。（详见评分细则）</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 w:hAnsi="仿宋" w:cs="仿宋"/>
          <w:b/>
          <w:bCs/>
          <w:color w:val="auto"/>
          <w:szCs w:val="21"/>
          <w:highlight w:val="none"/>
        </w:rPr>
      </w:pPr>
      <w:r>
        <w:rPr>
          <w:rFonts w:hint="eastAsia" w:ascii="仿宋" w:hAnsi="仿宋" w:cs="仿宋"/>
          <w:b/>
          <w:bCs/>
          <w:color w:val="auto"/>
          <w:szCs w:val="21"/>
          <w:highlight w:val="none"/>
        </w:rPr>
        <w:t>6.3对于列入《辽宁省创新产品和服务目录》内的产品、服务的相关规定</w:t>
      </w:r>
    </w:p>
    <w:p>
      <w:pPr>
        <w:adjustRightIn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采用最低评标价法的：对列入《辽宁省创新产品和服务目录》内的投标产品、服务给予其投标报价6%的价格扣除，用扣除后的价格参与评审。</w:t>
      </w:r>
    </w:p>
    <w:p>
      <w:pPr>
        <w:adjustRightInd w:val="0"/>
        <w:spacing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szCs w:val="21"/>
          <w:highlight w:val="none"/>
        </w:rPr>
        <w:t>采用综合评分法评标的：对列入《辽宁省创新产品和服务目录》内的投标产品、服务给予6%的加分（详见评分细则）。</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★7</w:t>
      </w:r>
      <w:r>
        <w:rPr>
          <w:rFonts w:hint="eastAsia" w:ascii="仿宋" w:hAnsi="仿宋" w:cs="仿宋"/>
          <w:b/>
          <w:bCs/>
          <w:color w:val="auto"/>
          <w:kern w:val="0"/>
          <w:szCs w:val="21"/>
          <w:highlight w:val="none"/>
        </w:rPr>
        <w:t>、投标无效情况详见投标人须知。</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★8</w:t>
      </w:r>
      <w:r>
        <w:rPr>
          <w:rFonts w:hint="eastAsia" w:ascii="仿宋" w:hAnsi="仿宋" w:cs="仿宋"/>
          <w:b/>
          <w:bCs/>
          <w:color w:val="auto"/>
          <w:kern w:val="0"/>
          <w:szCs w:val="21"/>
          <w:highlight w:val="none"/>
        </w:rPr>
        <w:t>、推荐中标候选人的原则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详见第一章投标人须知第29条，具体处理办法如下：</w:t>
      </w:r>
    </w:p>
    <w:p>
      <w:pPr>
        <w:numPr>
          <w:ilvl w:val="0"/>
          <w:numId w:val="6"/>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采用最低评标价法的：</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扣除后的投标报价相同时，按投标报价由低至高排序；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按前款不能区分的，优先采购节能产品、环境标志产品；</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按前款不能区分的，按技术指标优劣排序；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其他情况，由评标委员会投票处理。</w:t>
      </w:r>
    </w:p>
    <w:p>
      <w:pPr>
        <w:numPr>
          <w:ilvl w:val="0"/>
          <w:numId w:val="6"/>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采用综合评分法的：</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得分相同的，按扣除后的投标报价由低到高顺序排序；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按前款不能区分的，按投标报价由低至高顺序排序；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按前款不能区分的，优先采购节能产品、环保产品；</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按前款不能区分的，按技术指标优劣排序；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其他情况，由评标委员会投票处理。</w:t>
      </w:r>
    </w:p>
    <w:p>
      <w:pPr>
        <w:adjustRightInd w:val="0"/>
        <w:snapToGrid w:val="0"/>
        <w:spacing w:line="360" w:lineRule="auto"/>
        <w:ind w:firstLine="422" w:firstLineChars="200"/>
        <w:rPr>
          <w:rFonts w:hint="eastAsia" w:ascii="仿宋" w:hAnsi="仿宋" w:cs="仿宋"/>
          <w:b/>
          <w:color w:val="auto"/>
          <w:kern w:val="0"/>
          <w:szCs w:val="21"/>
          <w:highlight w:val="none"/>
        </w:rPr>
      </w:pPr>
      <w:bookmarkStart w:id="128" w:name="_Toc30297_WPSOffice_Level2"/>
      <w:r>
        <w:rPr>
          <w:rFonts w:hint="eastAsia" w:ascii="仿宋" w:hAnsi="仿宋" w:cs="仿宋"/>
          <w:b/>
          <w:color w:val="auto"/>
          <w:szCs w:val="21"/>
          <w:highlight w:val="none"/>
        </w:rPr>
        <w:t>三、</w:t>
      </w:r>
      <w:r>
        <w:rPr>
          <w:rFonts w:hint="eastAsia" w:ascii="仿宋" w:hAnsi="仿宋" w:cs="仿宋"/>
          <w:b/>
          <w:color w:val="auto"/>
          <w:kern w:val="0"/>
          <w:szCs w:val="21"/>
          <w:highlight w:val="none"/>
        </w:rPr>
        <w:t>确定中标人</w:t>
      </w:r>
      <w:bookmarkEnd w:id="128"/>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采购人按照评标报告确定的中标候选人名单按顺序确定中标人，或由采购人委托评标委员会按照第一章投标人须知第31条规定的方式确定中标人。</w:t>
      </w:r>
    </w:p>
    <w:p>
      <w:pPr>
        <w:pStyle w:val="4"/>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highlight w:val="none"/>
        </w:rPr>
        <w:br w:type="page"/>
      </w:r>
      <w:bookmarkStart w:id="129" w:name="_Toc32318_WPSOffice_Level2"/>
      <w:r>
        <w:rPr>
          <w:rFonts w:hint="eastAsia" w:ascii="仿宋" w:hAnsi="仿宋" w:cs="仿宋"/>
          <w:color w:val="auto"/>
          <w:szCs w:val="28"/>
          <w:highlight w:val="none"/>
        </w:rPr>
        <w:t xml:space="preserve">附件1 </w:t>
      </w:r>
    </w:p>
    <w:p>
      <w:pPr>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资格审查表</w:t>
      </w:r>
      <w:bookmarkEnd w:id="129"/>
    </w:p>
    <w:tbl>
      <w:tblPr>
        <w:tblStyle w:val="25"/>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504"/>
        <w:gridCol w:w="1808"/>
        <w:gridCol w:w="899"/>
        <w:gridCol w:w="87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1" w:type="dxa"/>
            <w:vMerge w:val="restart"/>
            <w:vAlign w:val="center"/>
          </w:tcPr>
          <w:p>
            <w:pPr>
              <w:ind w:left="-97" w:leftChars="-46" w:right="-86" w:rightChars="-41"/>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3504" w:type="dxa"/>
            <w:vMerge w:val="restart"/>
            <w:vAlign w:val="center"/>
          </w:tcPr>
          <w:p>
            <w:pPr>
              <w:pStyle w:val="4"/>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审查项目</w:t>
            </w:r>
          </w:p>
        </w:tc>
        <w:tc>
          <w:tcPr>
            <w:tcW w:w="1808" w:type="dxa"/>
            <w:vMerge w:val="restart"/>
            <w:vAlign w:val="center"/>
          </w:tcPr>
          <w:p>
            <w:pPr>
              <w:pStyle w:val="4"/>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审查标准</w:t>
            </w:r>
          </w:p>
        </w:tc>
        <w:tc>
          <w:tcPr>
            <w:tcW w:w="2590" w:type="dxa"/>
            <w:gridSpan w:val="3"/>
            <w:vAlign w:val="center"/>
          </w:tcPr>
          <w:p>
            <w:pPr>
              <w:pStyle w:val="4"/>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11"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3504"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1808"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899"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1</w:t>
            </w:r>
          </w:p>
        </w:tc>
        <w:tc>
          <w:tcPr>
            <w:tcW w:w="3504"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szCs w:val="21"/>
                <w:highlight w:val="none"/>
              </w:rPr>
              <w:t>营业执照或事业单位法人证书或执业许可证等证明文件或自然人的身份证明</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899"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11" w:type="dxa"/>
            <w:vAlign w:val="center"/>
          </w:tcPr>
          <w:p>
            <w:pPr>
              <w:widowControl/>
              <w:snapToGrid w:val="0"/>
              <w:jc w:val="center"/>
              <w:rPr>
                <w:rFonts w:hint="eastAsia" w:ascii="仿宋" w:hAnsi="仿宋" w:cs="仿宋"/>
                <w:color w:val="auto"/>
                <w:szCs w:val="21"/>
                <w:highlight w:val="none"/>
              </w:rPr>
            </w:pPr>
            <w:r>
              <w:rPr>
                <w:rFonts w:hint="eastAsia" w:ascii="仿宋" w:hAnsi="仿宋" w:cs="仿宋"/>
                <w:color w:val="auto"/>
                <w:szCs w:val="21"/>
                <w:highlight w:val="none"/>
              </w:rPr>
              <w:t>2</w:t>
            </w:r>
          </w:p>
        </w:tc>
        <w:tc>
          <w:tcPr>
            <w:tcW w:w="3504"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szCs w:val="21"/>
                <w:highlight w:val="none"/>
              </w:rPr>
              <w:t>法定代表人（或非法人组织负责人）身份证明书</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11" w:type="dxa"/>
            <w:vAlign w:val="center"/>
          </w:tcPr>
          <w:p>
            <w:pPr>
              <w:widowControl/>
              <w:snapToGrid w:val="0"/>
              <w:jc w:val="center"/>
              <w:rPr>
                <w:rFonts w:hint="eastAsia" w:ascii="仿宋" w:hAnsi="仿宋" w:cs="仿宋"/>
                <w:color w:val="auto"/>
                <w:szCs w:val="21"/>
                <w:highlight w:val="none"/>
              </w:rPr>
            </w:pPr>
            <w:r>
              <w:rPr>
                <w:rFonts w:hint="eastAsia" w:ascii="仿宋" w:hAnsi="仿宋" w:cs="仿宋"/>
                <w:color w:val="auto"/>
                <w:szCs w:val="21"/>
                <w:highlight w:val="none"/>
              </w:rPr>
              <w:t>3</w:t>
            </w:r>
          </w:p>
        </w:tc>
        <w:tc>
          <w:tcPr>
            <w:tcW w:w="3504"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szCs w:val="21"/>
                <w:highlight w:val="none"/>
              </w:rPr>
              <w:t>法定代表人（或非法人组织负责人）授权委托书（授权委托人参加投标的须提供）</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1" w:type="dxa"/>
            <w:vAlign w:val="center"/>
          </w:tcPr>
          <w:p>
            <w:pPr>
              <w:widowControl/>
              <w:snapToGrid w:val="0"/>
              <w:jc w:val="center"/>
              <w:rPr>
                <w:rFonts w:hint="eastAsia" w:ascii="仿宋" w:hAnsi="仿宋" w:cs="仿宋"/>
                <w:color w:val="auto"/>
                <w:szCs w:val="21"/>
                <w:highlight w:val="none"/>
              </w:rPr>
            </w:pPr>
            <w:r>
              <w:rPr>
                <w:rFonts w:hint="eastAsia" w:ascii="仿宋" w:hAnsi="仿宋" w:cs="仿宋"/>
                <w:color w:val="auto"/>
                <w:szCs w:val="21"/>
                <w:highlight w:val="none"/>
              </w:rPr>
              <w:t>4</w:t>
            </w:r>
          </w:p>
        </w:tc>
        <w:tc>
          <w:tcPr>
            <w:tcW w:w="3504"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szCs w:val="21"/>
                <w:highlight w:val="none"/>
              </w:rPr>
              <w:t>具有良好的商业信誉和健全的财务会计制度的承诺函</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1.信息完整</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5</w:t>
            </w:r>
          </w:p>
        </w:tc>
        <w:tc>
          <w:tcPr>
            <w:tcW w:w="3504"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szCs w:val="21"/>
                <w:highlight w:val="none"/>
              </w:rPr>
              <w:t>开标时间前六个月内任一个月的依法缴纳税收的缴款凭据</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6</w:t>
            </w:r>
          </w:p>
        </w:tc>
        <w:tc>
          <w:tcPr>
            <w:tcW w:w="3504"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szCs w:val="21"/>
                <w:highlight w:val="none"/>
              </w:rPr>
              <w:t>开标时间前六个月内任一个月的依法缴纳社会保障资金的缴款凭据</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c>
          <w:tcPr>
            <w:tcW w:w="3504"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szCs w:val="21"/>
                <w:highlight w:val="none"/>
              </w:rPr>
              <w:t>具备履行合同所必需的设备和专业技术能力声明函</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1.信息完整</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c>
          <w:tcPr>
            <w:tcW w:w="3504"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参加政府采购活动前3年内在经营活动中没有重大违法记录的书面声明</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9</w:t>
            </w:r>
          </w:p>
        </w:tc>
        <w:tc>
          <w:tcPr>
            <w:tcW w:w="3504"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提供中小企业声明函或监狱企业证明材料或残疾人福利性单位声明函</w:t>
            </w:r>
          </w:p>
        </w:tc>
        <w:tc>
          <w:tcPr>
            <w:tcW w:w="1808" w:type="dxa"/>
            <w:vAlign w:val="center"/>
          </w:tcPr>
          <w:p>
            <w:pPr>
              <w:pStyle w:val="4"/>
              <w:adjustRightInd w:val="0"/>
              <w:snapToGrid w:val="0"/>
              <w:spacing w:before="0" w:after="0" w:line="240" w:lineRule="auto"/>
              <w:jc w:val="both"/>
              <w:rPr>
                <w:rFonts w:hint="eastAsia" w:ascii="仿宋" w:hAnsi="仿宋" w:cs="仿宋"/>
                <w:b w:val="0"/>
                <w:bCs/>
                <w:color w:val="auto"/>
                <w:sz w:val="21"/>
                <w:szCs w:val="21"/>
                <w:highlight w:val="none"/>
              </w:rPr>
            </w:pPr>
            <w:r>
              <w:rPr>
                <w:rFonts w:hint="eastAsia" w:ascii="仿宋" w:hAnsi="仿宋" w:cs="仿宋"/>
                <w:b w:val="0"/>
                <w:color w:val="auto"/>
                <w:sz w:val="21"/>
                <w:szCs w:val="21"/>
                <w:highlight w:val="none"/>
              </w:rPr>
              <w:t>1.按给定格式填写</w:t>
            </w:r>
          </w:p>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p>
            <w:pPr>
              <w:rPr>
                <w:rFonts w:hint="eastAsia" w:ascii="仿宋" w:hAnsi="仿宋" w:cs="仿宋"/>
                <w:color w:val="auto"/>
                <w:szCs w:val="21"/>
                <w:highlight w:val="none"/>
              </w:rPr>
            </w:pPr>
            <w:r>
              <w:rPr>
                <w:rFonts w:hint="eastAsia" w:ascii="仿宋" w:hAnsi="仿宋" w:cs="仿宋"/>
                <w:color w:val="auto"/>
                <w:szCs w:val="21"/>
                <w:highlight w:val="none"/>
              </w:rPr>
              <w:t>3.合法有效</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10</w:t>
            </w:r>
          </w:p>
        </w:tc>
        <w:tc>
          <w:tcPr>
            <w:tcW w:w="3504"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信用记录（采购人或采购代理机构将按照招标文件规定的审查期间内进行查询）</w:t>
            </w:r>
          </w:p>
        </w:tc>
        <w:tc>
          <w:tcPr>
            <w:tcW w:w="1808"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无投标须知22.2.1所述的不良记录</w:t>
            </w: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1" w:type="dxa"/>
            <w:vAlign w:val="center"/>
          </w:tcPr>
          <w:p>
            <w:pPr>
              <w:snapToGrid w:val="0"/>
              <w:jc w:val="center"/>
              <w:rPr>
                <w:rFonts w:hint="eastAsia" w:ascii="仿宋" w:hAnsi="仿宋" w:cs="仿宋"/>
                <w:color w:val="auto"/>
                <w:szCs w:val="21"/>
                <w:highlight w:val="none"/>
              </w:rPr>
            </w:pPr>
          </w:p>
        </w:tc>
        <w:tc>
          <w:tcPr>
            <w:tcW w:w="3504"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结论</w:t>
            </w:r>
          </w:p>
        </w:tc>
        <w:tc>
          <w:tcPr>
            <w:tcW w:w="1808"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99"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77"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814" w:type="dxa"/>
          </w:tcPr>
          <w:p>
            <w:pPr>
              <w:pStyle w:val="4"/>
              <w:adjustRightInd w:val="0"/>
              <w:snapToGrid w:val="0"/>
              <w:spacing w:before="0" w:after="0" w:line="240" w:lineRule="auto"/>
              <w:rPr>
                <w:rFonts w:hint="eastAsia" w:ascii="仿宋" w:hAnsi="仿宋" w:cs="仿宋"/>
                <w:color w:val="auto"/>
                <w:sz w:val="21"/>
                <w:szCs w:val="21"/>
                <w:highlight w:val="none"/>
              </w:rPr>
            </w:pPr>
          </w:p>
        </w:tc>
      </w:tr>
    </w:tbl>
    <w:p>
      <w:pPr>
        <w:snapToGrid w:val="0"/>
        <w:rPr>
          <w:rFonts w:hint="eastAsia" w:ascii="仿宋" w:hAnsi="仿宋" w:cs="仿宋"/>
          <w:color w:val="auto"/>
          <w:highlight w:val="none"/>
        </w:rPr>
      </w:pPr>
      <w:r>
        <w:rPr>
          <w:rFonts w:hint="eastAsia" w:ascii="仿宋" w:hAnsi="仿宋" w:cs="仿宋"/>
          <w:color w:val="auto"/>
          <w:highlight w:val="none"/>
        </w:rPr>
        <w:t>填表说明：1、每项内容审查合格，在表中填写“√”；不合格填写“×”</w:t>
      </w:r>
    </w:p>
    <w:p>
      <w:pPr>
        <w:snapToGrid w:val="0"/>
        <w:rPr>
          <w:rFonts w:hint="eastAsia" w:ascii="仿宋" w:hAnsi="仿宋" w:cs="仿宋"/>
          <w:color w:val="auto"/>
          <w:highlight w:val="none"/>
        </w:rPr>
      </w:pPr>
      <w:r>
        <w:rPr>
          <w:rFonts w:hint="eastAsia" w:ascii="仿宋" w:hAnsi="仿宋" w:cs="仿宋"/>
          <w:color w:val="auto"/>
          <w:highlight w:val="none"/>
        </w:rPr>
        <w:t xml:space="preserve">          2、审查结论填写“通过”或“不通过”</w:t>
      </w:r>
    </w:p>
    <w:p>
      <w:pPr>
        <w:rPr>
          <w:rFonts w:hint="eastAsia" w:ascii="仿宋" w:hAnsi="仿宋" w:cs="仿宋"/>
          <w:color w:val="auto"/>
          <w:highlight w:val="none"/>
        </w:rPr>
      </w:pPr>
    </w:p>
    <w:p>
      <w:pPr>
        <w:rPr>
          <w:rFonts w:hint="eastAsia" w:ascii="仿宋" w:hAnsi="仿宋" w:cs="仿宋"/>
          <w:color w:val="auto"/>
          <w:highlight w:val="none"/>
        </w:rPr>
      </w:pPr>
    </w:p>
    <w:p>
      <w:pPr>
        <w:pStyle w:val="21"/>
        <w:widowControl w:val="0"/>
        <w:snapToGrid w:val="0"/>
        <w:spacing w:before="0" w:beforeAutospacing="0" w:after="0" w:afterAutospacing="0" w:line="48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审查人签字：</w:t>
      </w:r>
    </w:p>
    <w:p>
      <w:pPr>
        <w:pStyle w:val="21"/>
        <w:widowControl w:val="0"/>
        <w:snapToGrid w:val="0"/>
        <w:spacing w:before="0" w:beforeAutospacing="0" w:after="0" w:afterAutospacing="0" w:line="480" w:lineRule="auto"/>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      期：</w:t>
      </w:r>
    </w:p>
    <w:p>
      <w:pPr>
        <w:pStyle w:val="21"/>
        <w:widowControl w:val="0"/>
        <w:snapToGrid w:val="0"/>
        <w:spacing w:before="0" w:beforeAutospacing="0" w:after="0" w:afterAutospacing="0" w:line="480" w:lineRule="auto"/>
        <w:jc w:val="both"/>
        <w:rPr>
          <w:rFonts w:hint="eastAsia" w:ascii="仿宋" w:hAnsi="仿宋" w:eastAsia="仿宋" w:cs="仿宋"/>
          <w:bCs/>
          <w:color w:val="auto"/>
          <w:sz w:val="21"/>
          <w:szCs w:val="21"/>
          <w:highlight w:val="none"/>
        </w:rPr>
      </w:pPr>
    </w:p>
    <w:p>
      <w:pPr>
        <w:pStyle w:val="21"/>
        <w:widowControl w:val="0"/>
        <w:snapToGrid w:val="0"/>
        <w:spacing w:before="0" w:beforeAutospacing="0" w:after="0" w:afterAutospacing="0" w:line="480" w:lineRule="auto"/>
        <w:jc w:val="both"/>
        <w:rPr>
          <w:rFonts w:hint="eastAsia" w:ascii="仿宋" w:hAnsi="仿宋" w:eastAsia="仿宋" w:cs="仿宋"/>
          <w:bCs/>
          <w:color w:val="auto"/>
          <w:sz w:val="21"/>
          <w:szCs w:val="21"/>
          <w:highlight w:val="none"/>
        </w:rPr>
      </w:pPr>
    </w:p>
    <w:p>
      <w:pPr>
        <w:pStyle w:val="21"/>
        <w:widowControl w:val="0"/>
        <w:snapToGrid w:val="0"/>
        <w:spacing w:before="0" w:beforeAutospacing="0" w:after="0" w:afterAutospacing="0" w:line="480" w:lineRule="auto"/>
        <w:jc w:val="both"/>
        <w:rPr>
          <w:rFonts w:hint="eastAsia" w:ascii="仿宋" w:hAnsi="仿宋" w:eastAsia="仿宋" w:cs="仿宋"/>
          <w:b/>
          <w:color w:val="auto"/>
          <w:sz w:val="21"/>
          <w:szCs w:val="21"/>
          <w:highlight w:val="none"/>
        </w:rPr>
      </w:pPr>
    </w:p>
    <w:p>
      <w:pPr>
        <w:pStyle w:val="4"/>
        <w:adjustRightInd w:val="0"/>
        <w:snapToGrid w:val="0"/>
        <w:spacing w:before="0" w:after="0" w:line="240" w:lineRule="auto"/>
        <w:jc w:val="left"/>
        <w:rPr>
          <w:rFonts w:hint="eastAsia" w:ascii="仿宋" w:hAnsi="仿宋" w:cs="仿宋"/>
          <w:color w:val="auto"/>
          <w:szCs w:val="28"/>
          <w:highlight w:val="none"/>
        </w:rPr>
      </w:pPr>
      <w:bookmarkStart w:id="130" w:name="_Toc11558_WPSOffice_Level2"/>
      <w:r>
        <w:rPr>
          <w:rFonts w:hint="eastAsia" w:ascii="仿宋" w:hAnsi="仿宋" w:cs="仿宋"/>
          <w:color w:val="auto"/>
          <w:szCs w:val="28"/>
          <w:highlight w:val="none"/>
        </w:rPr>
        <w:br w:type="page"/>
      </w:r>
      <w:r>
        <w:rPr>
          <w:rFonts w:hint="eastAsia" w:ascii="仿宋" w:hAnsi="仿宋" w:cs="仿宋"/>
          <w:color w:val="auto"/>
          <w:szCs w:val="28"/>
          <w:highlight w:val="none"/>
        </w:rPr>
        <w:t xml:space="preserve">附件2                  </w:t>
      </w:r>
    </w:p>
    <w:p>
      <w:pPr>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符合性审查表</w:t>
      </w:r>
      <w:bookmarkEnd w:id="130"/>
    </w:p>
    <w:tbl>
      <w:tblPr>
        <w:tblStyle w:val="25"/>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066"/>
        <w:gridCol w:w="3015"/>
        <w:gridCol w:w="642"/>
        <w:gridCol w:w="673"/>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vAlign w:val="center"/>
          </w:tcPr>
          <w:p>
            <w:pPr>
              <w:ind w:left="-84" w:leftChars="-40" w:right="-76" w:rightChars="-36"/>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3066" w:type="dxa"/>
            <w:vMerge w:val="restart"/>
            <w:vAlign w:val="center"/>
          </w:tcPr>
          <w:p>
            <w:pPr>
              <w:ind w:left="-84" w:leftChars="-40" w:right="-76" w:rightChars="-36"/>
              <w:jc w:val="center"/>
              <w:rPr>
                <w:rFonts w:hint="eastAsia" w:ascii="仿宋" w:hAnsi="仿宋" w:cs="仿宋"/>
                <w:color w:val="auto"/>
                <w:szCs w:val="21"/>
                <w:highlight w:val="none"/>
              </w:rPr>
            </w:pPr>
            <w:r>
              <w:rPr>
                <w:rFonts w:hint="eastAsia" w:ascii="仿宋" w:hAnsi="仿宋" w:cs="仿宋"/>
                <w:color w:val="auto"/>
                <w:szCs w:val="21"/>
                <w:highlight w:val="none"/>
              </w:rPr>
              <w:t>审查项目</w:t>
            </w:r>
          </w:p>
        </w:tc>
        <w:tc>
          <w:tcPr>
            <w:tcW w:w="3015" w:type="dxa"/>
            <w:vMerge w:val="restart"/>
            <w:vAlign w:val="center"/>
          </w:tcPr>
          <w:p>
            <w:pPr>
              <w:ind w:left="-84" w:leftChars="-40" w:right="-76" w:rightChars="-36"/>
              <w:jc w:val="center"/>
              <w:rPr>
                <w:rFonts w:hint="eastAsia" w:ascii="仿宋" w:hAnsi="仿宋" w:cs="仿宋"/>
                <w:color w:val="auto"/>
                <w:szCs w:val="21"/>
                <w:highlight w:val="none"/>
              </w:rPr>
            </w:pPr>
            <w:r>
              <w:rPr>
                <w:rFonts w:hint="eastAsia" w:ascii="仿宋" w:hAnsi="仿宋" w:cs="仿宋"/>
                <w:color w:val="auto"/>
                <w:szCs w:val="21"/>
                <w:highlight w:val="none"/>
              </w:rPr>
              <w:t>审查标准</w:t>
            </w:r>
          </w:p>
        </w:tc>
        <w:tc>
          <w:tcPr>
            <w:tcW w:w="1841" w:type="dxa"/>
            <w:gridSpan w:val="3"/>
            <w:vAlign w:val="center"/>
          </w:tcPr>
          <w:p>
            <w:pPr>
              <w:ind w:left="-84" w:leftChars="-40" w:right="-76" w:rightChars="-36"/>
              <w:jc w:val="center"/>
              <w:rPr>
                <w:rFonts w:hint="eastAsia" w:ascii="仿宋" w:hAnsi="仿宋" w:cs="仿宋"/>
                <w:color w:val="auto"/>
                <w:szCs w:val="21"/>
                <w:highlight w:val="none"/>
              </w:rPr>
            </w:pPr>
            <w:r>
              <w:rPr>
                <w:rFonts w:hint="eastAsia" w:ascii="仿宋" w:hAnsi="仿宋" w:cs="仿宋"/>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3066"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3015" w:type="dxa"/>
            <w:vMerge w:val="continue"/>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642"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1</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投标函</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642"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vAlign w:val="center"/>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2</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开标一览表</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3</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分项报价表</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1.按给定格式填写，信息完整</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4</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技术规格偏离表</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1.按给定格式及填表要求填写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5</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商务条款偏离表</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1.按给定格式及填表要求填写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1" w:type="dxa"/>
            <w:vAlign w:val="center"/>
          </w:tcPr>
          <w:p>
            <w:pPr>
              <w:jc w:val="center"/>
              <w:rPr>
                <w:rFonts w:hint="eastAsia" w:ascii="仿宋" w:hAnsi="仿宋" w:cs="仿宋"/>
                <w:color w:val="auto"/>
                <w:szCs w:val="21"/>
                <w:highlight w:val="none"/>
              </w:rPr>
            </w:pPr>
            <w:r>
              <w:rPr>
                <w:rFonts w:hint="eastAsia" w:ascii="仿宋" w:hAnsi="仿宋" w:cs="仿宋"/>
                <w:color w:val="auto"/>
                <w:kern w:val="0"/>
                <w:szCs w:val="21"/>
                <w:highlight w:val="none"/>
              </w:rPr>
              <w:t>6</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投标人关联单位说明</w:t>
            </w:r>
          </w:p>
        </w:tc>
        <w:tc>
          <w:tcPr>
            <w:tcW w:w="3015" w:type="dxa"/>
            <w:vAlign w:val="center"/>
          </w:tcPr>
          <w:p>
            <w:pPr>
              <w:pStyle w:val="4"/>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无投标须知1.5所述情形</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投标报价</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1.响应招标文件实质性要求</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2.无投标须知26.2所述情形</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c>
          <w:tcPr>
            <w:tcW w:w="3066"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电子文件和电子备份文件一致性承诺函</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360" w:lineRule="exact"/>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9</w:t>
            </w:r>
          </w:p>
        </w:tc>
        <w:tc>
          <w:tcPr>
            <w:tcW w:w="3066" w:type="dxa"/>
            <w:shd w:val="clear" w:color="auto" w:fill="auto"/>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其他符合性证明材料：</w:t>
            </w:r>
          </w:p>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货物主要技术指标和性能的详细说明（产品技术说明书</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官网技术参数截图</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技术白皮书</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产品彩页</w:t>
            </w:r>
            <w:r>
              <w:rPr>
                <w:rFonts w:hint="eastAsia" w:ascii="仿宋" w:hAnsi="仿宋" w:cs="仿宋"/>
                <w:color w:val="auto"/>
                <w:kern w:val="0"/>
                <w:szCs w:val="21"/>
                <w:highlight w:val="none"/>
                <w:lang w:eastAsia="zh-CN"/>
              </w:rPr>
              <w:t>或</w:t>
            </w:r>
            <w:r>
              <w:rPr>
                <w:rFonts w:hint="eastAsia" w:ascii="仿宋" w:hAnsi="仿宋" w:cs="仿宋"/>
                <w:color w:val="auto"/>
                <w:kern w:val="0"/>
                <w:szCs w:val="21"/>
                <w:highlight w:val="none"/>
              </w:rPr>
              <w:t>第三方检测报告</w:t>
            </w:r>
            <w:r>
              <w:rPr>
                <w:rFonts w:hint="eastAsia" w:ascii="仿宋" w:hAnsi="仿宋" w:cs="仿宋"/>
                <w:color w:val="auto"/>
                <w:kern w:val="0"/>
                <w:szCs w:val="21"/>
                <w:highlight w:val="none"/>
                <w:lang w:eastAsia="zh-CN"/>
              </w:rPr>
              <w:t>等</w:t>
            </w:r>
            <w:r>
              <w:rPr>
                <w:rFonts w:hint="eastAsia" w:ascii="仿宋" w:hAnsi="仿宋" w:cs="仿宋"/>
                <w:color w:val="auto"/>
                <w:kern w:val="0"/>
                <w:szCs w:val="21"/>
                <w:highlight w:val="none"/>
              </w:rPr>
              <w:t>）。</w:t>
            </w:r>
          </w:p>
        </w:tc>
        <w:tc>
          <w:tcPr>
            <w:tcW w:w="3015" w:type="dxa"/>
          </w:tcPr>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4"/>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napToGrid w:val="0"/>
              <w:jc w:val="center"/>
              <w:rPr>
                <w:rFonts w:hint="eastAsia" w:ascii="仿宋" w:hAnsi="仿宋" w:cs="仿宋"/>
                <w:color w:val="auto"/>
                <w:szCs w:val="21"/>
                <w:highlight w:val="none"/>
              </w:rPr>
            </w:pPr>
          </w:p>
        </w:tc>
        <w:tc>
          <w:tcPr>
            <w:tcW w:w="3066"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结论</w:t>
            </w:r>
          </w:p>
        </w:tc>
        <w:tc>
          <w:tcPr>
            <w:tcW w:w="3015"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42"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673" w:type="dxa"/>
          </w:tcPr>
          <w:p>
            <w:pPr>
              <w:pStyle w:val="4"/>
              <w:adjustRightInd w:val="0"/>
              <w:snapToGrid w:val="0"/>
              <w:spacing w:before="0" w:after="0" w:line="240" w:lineRule="auto"/>
              <w:rPr>
                <w:rFonts w:hint="eastAsia" w:ascii="仿宋" w:hAnsi="仿宋" w:cs="仿宋"/>
                <w:color w:val="auto"/>
                <w:sz w:val="21"/>
                <w:szCs w:val="21"/>
                <w:highlight w:val="none"/>
              </w:rPr>
            </w:pPr>
          </w:p>
        </w:tc>
        <w:tc>
          <w:tcPr>
            <w:tcW w:w="526" w:type="dxa"/>
          </w:tcPr>
          <w:p>
            <w:pPr>
              <w:pStyle w:val="4"/>
              <w:adjustRightInd w:val="0"/>
              <w:snapToGrid w:val="0"/>
              <w:spacing w:before="0" w:after="0" w:line="240" w:lineRule="auto"/>
              <w:rPr>
                <w:rFonts w:hint="eastAsia" w:ascii="仿宋" w:hAnsi="仿宋" w:cs="仿宋"/>
                <w:color w:val="auto"/>
                <w:sz w:val="21"/>
                <w:szCs w:val="21"/>
                <w:highlight w:val="none"/>
              </w:rPr>
            </w:pPr>
          </w:p>
        </w:tc>
      </w:tr>
    </w:tbl>
    <w:p>
      <w:pPr>
        <w:ind w:right="-630" w:rightChars="-300"/>
        <w:rPr>
          <w:rFonts w:hint="eastAsia" w:ascii="仿宋" w:hAnsi="仿宋" w:cs="仿宋"/>
          <w:color w:val="auto"/>
          <w:highlight w:val="none"/>
        </w:rPr>
      </w:pPr>
      <w:r>
        <w:rPr>
          <w:rFonts w:hint="eastAsia" w:ascii="仿宋" w:hAnsi="仿宋" w:cs="仿宋"/>
          <w:color w:val="auto"/>
          <w:highlight w:val="none"/>
        </w:rPr>
        <w:t>注：1、进口产品的制造厂家的授权书（可视具体情况调整至符合性证明材料及符合性审查表中）</w:t>
      </w:r>
    </w:p>
    <w:p>
      <w:pPr>
        <w:ind w:firstLine="420" w:firstLineChars="200"/>
        <w:rPr>
          <w:rFonts w:hint="eastAsia" w:ascii="仿宋" w:hAnsi="仿宋" w:cs="仿宋"/>
          <w:color w:val="auto"/>
          <w:highlight w:val="none"/>
        </w:rPr>
      </w:pPr>
      <w:r>
        <w:rPr>
          <w:rFonts w:hint="eastAsia" w:ascii="仿宋" w:hAnsi="仿宋" w:cs="仿宋"/>
          <w:color w:val="auto"/>
          <w:highlight w:val="none"/>
        </w:rPr>
        <w:t>2、《辽宁省创新产品和服务目录》内产品、服务证明材料（可视具体情况调整至符合性证明材料及符合性审查表中）</w:t>
      </w:r>
    </w:p>
    <w:p>
      <w:pPr>
        <w:rPr>
          <w:rFonts w:hint="eastAsia" w:ascii="仿宋" w:hAnsi="仿宋" w:cs="仿宋"/>
          <w:color w:val="auto"/>
          <w:highlight w:val="none"/>
        </w:rPr>
      </w:pPr>
      <w:r>
        <w:rPr>
          <w:rFonts w:hint="eastAsia" w:ascii="仿宋" w:hAnsi="仿宋" w:cs="仿宋"/>
          <w:color w:val="auto"/>
          <w:highlight w:val="none"/>
        </w:rPr>
        <w:t>填表说明：1、每项内容审查合格，在表中填写“√”；不合格填写“×”</w:t>
      </w:r>
    </w:p>
    <w:p>
      <w:pPr>
        <w:rPr>
          <w:rFonts w:hint="eastAsia" w:ascii="仿宋" w:hAnsi="仿宋" w:cs="仿宋"/>
          <w:color w:val="auto"/>
          <w:highlight w:val="none"/>
        </w:rPr>
      </w:pPr>
      <w:r>
        <w:rPr>
          <w:rFonts w:hint="eastAsia" w:ascii="仿宋" w:hAnsi="仿宋" w:cs="仿宋"/>
          <w:color w:val="auto"/>
          <w:highlight w:val="none"/>
        </w:rPr>
        <w:t xml:space="preserve">          2、审查结论填写“通过”或“不通过”</w:t>
      </w:r>
    </w:p>
    <w:p>
      <w:pPr>
        <w:pStyle w:val="21"/>
        <w:widowControl w:val="0"/>
        <w:snapToGrid w:val="0"/>
        <w:spacing w:before="0" w:beforeAutospacing="0" w:after="0" w:afterAutospacing="0" w:line="480" w:lineRule="auto"/>
        <w:ind w:left="5880" w:hanging="5880" w:hanging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审查人签字： </w:t>
      </w:r>
    </w:p>
    <w:p>
      <w:pPr>
        <w:pStyle w:val="21"/>
        <w:widowControl w:val="0"/>
        <w:snapToGrid w:val="0"/>
        <w:spacing w:before="0" w:beforeAutospacing="0" w:after="0" w:afterAutospacing="0" w:line="480" w:lineRule="auto"/>
        <w:ind w:left="5880" w:hanging="5880" w:hangingChars="28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      期：</w:t>
      </w:r>
    </w:p>
    <w:p>
      <w:pPr>
        <w:pStyle w:val="21"/>
        <w:widowControl w:val="0"/>
        <w:snapToGrid w:val="0"/>
        <w:spacing w:before="0" w:beforeAutospacing="0" w:after="0" w:afterAutospacing="0" w:line="480" w:lineRule="auto"/>
        <w:ind w:left="5880" w:hanging="5880" w:hangingChars="2800"/>
        <w:rPr>
          <w:rFonts w:hint="eastAsia" w:ascii="仿宋" w:hAnsi="仿宋" w:eastAsia="仿宋" w:cs="仿宋"/>
          <w:bCs/>
          <w:color w:val="auto"/>
          <w:sz w:val="21"/>
          <w:szCs w:val="21"/>
          <w:highlight w:val="none"/>
        </w:rPr>
      </w:pPr>
    </w:p>
    <w:p>
      <w:pPr>
        <w:pStyle w:val="21"/>
        <w:widowControl w:val="0"/>
        <w:snapToGrid w:val="0"/>
        <w:spacing w:before="0" w:beforeAutospacing="0" w:after="0" w:afterAutospacing="0" w:line="480" w:lineRule="auto"/>
        <w:ind w:left="5880" w:hanging="5880" w:hangingChars="2800"/>
        <w:rPr>
          <w:rFonts w:hint="eastAsia" w:ascii="仿宋" w:hAnsi="仿宋" w:eastAsia="仿宋" w:cs="仿宋"/>
          <w:bCs/>
          <w:color w:val="auto"/>
          <w:sz w:val="21"/>
          <w:szCs w:val="21"/>
          <w:highlight w:val="none"/>
        </w:rPr>
      </w:pPr>
    </w:p>
    <w:p>
      <w:pPr>
        <w:pStyle w:val="4"/>
        <w:adjustRightInd w:val="0"/>
        <w:snapToGrid w:val="0"/>
        <w:spacing w:before="0" w:after="0" w:line="240" w:lineRule="auto"/>
        <w:jc w:val="left"/>
        <w:rPr>
          <w:rFonts w:hint="eastAsia" w:ascii="仿宋" w:hAnsi="仿宋" w:cs="仿宋"/>
          <w:color w:val="auto"/>
          <w:sz w:val="32"/>
          <w:szCs w:val="32"/>
          <w:highlight w:val="none"/>
        </w:rPr>
      </w:pPr>
      <w:r>
        <w:rPr>
          <w:rFonts w:hint="eastAsia" w:ascii="仿宋" w:hAnsi="仿宋" w:cs="仿宋"/>
          <w:color w:val="auto"/>
          <w:szCs w:val="28"/>
          <w:highlight w:val="none"/>
        </w:rPr>
        <w:t xml:space="preserve">附件3                   </w:t>
      </w:r>
    </w:p>
    <w:p>
      <w:pPr>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评分细则</w:t>
      </w:r>
    </w:p>
    <w:p>
      <w:pPr>
        <w:numPr>
          <w:ilvl w:val="0"/>
          <w:numId w:val="7"/>
        </w:numPr>
        <w:jc w:val="left"/>
        <w:rPr>
          <w:rFonts w:hint="eastAsia" w:ascii="仿宋" w:hAnsi="仿宋" w:cs="仿宋"/>
          <w:b/>
          <w:color w:val="auto"/>
          <w:szCs w:val="21"/>
          <w:highlight w:val="none"/>
        </w:rPr>
      </w:pPr>
      <w:r>
        <w:rPr>
          <w:rFonts w:hint="eastAsia" w:ascii="仿宋" w:hAnsi="仿宋" w:cs="仿宋"/>
          <w:b/>
          <w:color w:val="auto"/>
          <w:szCs w:val="21"/>
          <w:highlight w:val="none"/>
        </w:rPr>
        <w:t>基本评分标准</w:t>
      </w:r>
    </w:p>
    <w:tbl>
      <w:tblPr>
        <w:tblStyle w:val="25"/>
        <w:tblpPr w:leftFromText="180" w:rightFromText="180" w:vertAnchor="text" w:horzAnchor="margin" w:tblpXSpec="center" w:tblpY="170"/>
        <w:tblOverlap w:val="never"/>
        <w:tblW w:w="93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69"/>
        <w:gridCol w:w="848"/>
        <w:gridCol w:w="975"/>
        <w:gridCol w:w="1140"/>
        <w:gridCol w:w="5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0" w:type="auto"/>
            <w:vMerge w:val="restart"/>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848" w:type="dxa"/>
            <w:vMerge w:val="restart"/>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8081" w:type="dxa"/>
            <w:gridSpan w:val="3"/>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8" w:hRule="atLeast"/>
        </w:trPr>
        <w:tc>
          <w:tcPr>
            <w:tcW w:w="0" w:type="auto"/>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1140"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满分分值</w:t>
            </w:r>
          </w:p>
        </w:tc>
        <w:tc>
          <w:tcPr>
            <w:tcW w:w="5966"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3" w:hRule="atLeast"/>
        </w:trPr>
        <w:tc>
          <w:tcPr>
            <w:tcW w:w="0" w:type="auto"/>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48"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部分</w:t>
            </w: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w:t>
            </w:r>
          </w:p>
        </w:tc>
        <w:tc>
          <w:tcPr>
            <w:tcW w:w="1140"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5966"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报价得分＝（所有有效投标人的最低报价/投标人的报价）×30（得分按四舍五入的方式保留小数点后二位）。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4" w:hRule="atLeast"/>
        </w:trPr>
        <w:tc>
          <w:tcPr>
            <w:tcW w:w="469" w:type="dxa"/>
            <w:vMerge w:val="restart"/>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48" w:type="dxa"/>
            <w:vMerge w:val="restar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w:t>
            </w:r>
          </w:p>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部分</w:t>
            </w:r>
          </w:p>
        </w:tc>
        <w:tc>
          <w:tcPr>
            <w:tcW w:w="975"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生产工艺及生产流程</w:t>
            </w:r>
          </w:p>
        </w:tc>
        <w:tc>
          <w:tcPr>
            <w:tcW w:w="1140"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5966" w:type="dxa"/>
            <w:noWrap w:val="0"/>
            <w:vAlign w:val="center"/>
          </w:tcPr>
          <w:p>
            <w:pPr>
              <w:snapToGrid w:val="0"/>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供应商根据本项目需求，结合项目实际情况，制定生产工艺及生产流程方案，至少包含下述3项要点：</w:t>
            </w:r>
            <w:r>
              <w:rPr>
                <w:rFonts w:hint="eastAsia" w:ascii="仿宋" w:hAnsi="仿宋" w:eastAsia="仿宋" w:cs="仿宋"/>
                <w:b/>
                <w:bCs/>
                <w:color w:val="auto"/>
                <w:sz w:val="21"/>
                <w:szCs w:val="21"/>
                <w:highlight w:val="none"/>
                <w:lang w:val="en-US" w:eastAsia="zh-CN"/>
              </w:rPr>
              <w:t>生产工艺、生产流程、生产设备</w:t>
            </w:r>
            <w:r>
              <w:rPr>
                <w:rFonts w:hint="eastAsia" w:ascii="仿宋" w:hAnsi="仿宋" w:eastAsia="仿宋" w:cs="仿宋"/>
                <w:color w:val="auto"/>
                <w:sz w:val="21"/>
                <w:szCs w:val="21"/>
                <w:highlight w:val="none"/>
                <w:lang w:val="en-US" w:eastAsia="zh-CN"/>
              </w:rPr>
              <w:t>。每项要点满分3分，共计9分。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符合项目需求，无缺陷得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内容存在缺陷的，得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内容存在不符合项目需求的，得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（4）未提供，得0分。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注：缺陷指对项目需求理解存在偏差、存在相互矛盾内容、未针对本项目编写等任意一种情形。</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不符合项目需求是指存在与本项目执行无关的内容、存在相关内容在实际操作中不能运用、使用的工作方法、标准、依据、流程等有错误影响方案有效性等任意一种情形。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trPr>
        <w:tc>
          <w:tcPr>
            <w:tcW w:w="469" w:type="dxa"/>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供货方案</w:t>
            </w:r>
          </w:p>
        </w:tc>
        <w:tc>
          <w:tcPr>
            <w:tcW w:w="1140"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5966" w:type="dxa"/>
            <w:noWrap w:val="0"/>
            <w:vAlign w:val="center"/>
          </w:tcPr>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供应商根据本项目需求，结合项目实际情况，制定供货方案，至少包含下述</w:t>
            </w:r>
            <w:r>
              <w:rPr>
                <w:rFonts w:hint="eastAsia" w:ascii="仿宋" w:hAnsi="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项要点：</w:t>
            </w:r>
            <w:r>
              <w:rPr>
                <w:rFonts w:hint="eastAsia" w:ascii="仿宋" w:hAnsi="仿宋" w:eastAsia="仿宋" w:cs="仿宋"/>
                <w:b/>
                <w:bCs/>
                <w:color w:val="auto"/>
                <w:sz w:val="21"/>
                <w:szCs w:val="21"/>
                <w:highlight w:val="none"/>
                <w:lang w:val="en-US" w:eastAsia="zh-CN"/>
              </w:rPr>
              <w:t>供货</w:t>
            </w:r>
            <w:r>
              <w:rPr>
                <w:rFonts w:hint="eastAsia" w:ascii="仿宋" w:hAnsi="仿宋" w:eastAsia="仿宋" w:cs="仿宋"/>
                <w:b/>
                <w:bCs/>
                <w:color w:val="auto"/>
                <w:sz w:val="21"/>
                <w:szCs w:val="21"/>
                <w:highlight w:val="none"/>
                <w:lang w:val="zh-CN" w:eastAsia="zh-CN"/>
              </w:rPr>
              <w:t>响应时间、</w:t>
            </w:r>
            <w:r>
              <w:rPr>
                <w:rFonts w:hint="eastAsia" w:ascii="仿宋" w:hAnsi="仿宋" w:eastAsia="仿宋" w:cs="仿宋"/>
                <w:b/>
                <w:bCs/>
                <w:color w:val="auto"/>
                <w:sz w:val="21"/>
                <w:szCs w:val="21"/>
                <w:highlight w:val="none"/>
                <w:lang w:val="en-US" w:eastAsia="zh-CN"/>
              </w:rPr>
              <w:t>供货流程、运输中对货物的保护措施</w:t>
            </w:r>
            <w:r>
              <w:rPr>
                <w:rFonts w:hint="eastAsia" w:ascii="仿宋" w:hAnsi="仿宋" w:eastAsia="仿宋" w:cs="仿宋"/>
                <w:color w:val="auto"/>
                <w:sz w:val="21"/>
                <w:szCs w:val="21"/>
                <w:highlight w:val="none"/>
                <w:lang w:val="en-US" w:eastAsia="zh-CN"/>
              </w:rPr>
              <w:t>。每项要点满分3分，共计9分。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符合项目需求，无缺陷得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内容存在缺陷的，得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内容存在不符合项目需求的，得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（4）未提供，得0分。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注：缺陷指对项目需求理解存在偏差、存在相互矛盾内容、未针对本项目编写等任意一种情形。</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不符合项目需求是指存在与本项目执行无关的内容、存在相关内容在实际操作中不能运用、使用的工作方法、标准、依据、流程等有错误影响方案有效性等任意一种情形。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469" w:type="dxa"/>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质量保证方案及措施</w:t>
            </w:r>
          </w:p>
        </w:tc>
        <w:tc>
          <w:tcPr>
            <w:tcW w:w="1140" w:type="dxa"/>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5966" w:type="dxa"/>
            <w:noWrap w:val="0"/>
            <w:vAlign w:val="center"/>
          </w:tcPr>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供应商根据本项目需求，结合项目实际情况，制定质量保证方案及措施，至少包含下述</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项要点：</w:t>
            </w:r>
            <w:r>
              <w:rPr>
                <w:rFonts w:hint="eastAsia" w:ascii="仿宋" w:hAnsi="仿宋" w:eastAsia="仿宋" w:cs="仿宋"/>
                <w:b/>
                <w:bCs/>
                <w:color w:val="auto"/>
                <w:sz w:val="21"/>
                <w:szCs w:val="21"/>
                <w:highlight w:val="none"/>
              </w:rPr>
              <w:t>货物质量管理制度</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货物质量控制措施、</w:t>
            </w:r>
            <w:r>
              <w:rPr>
                <w:rFonts w:hint="eastAsia" w:ascii="仿宋" w:hAnsi="仿宋" w:eastAsia="仿宋" w:cs="仿宋"/>
                <w:b/>
                <w:bCs/>
                <w:color w:val="auto"/>
                <w:sz w:val="21"/>
                <w:szCs w:val="21"/>
                <w:highlight w:val="none"/>
                <w:lang w:eastAsia="zh-CN"/>
              </w:rPr>
              <w:t>质量承诺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每项要点满分3分，共计9分。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符合项目需求，无缺陷得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内容存在缺陷的，得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内容存在不符合项目需求的，得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（4）未提供，得0分。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注：缺陷指对项目需求理解存在偏差、存在相互矛盾内容、未针对本项目编写等任意一种情形。</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不符合项目需求是指存在与本项目执行无关的内容、存在相关内容在实际操作中不能运用、使用的工作方法、标准、依据、流程等有错误影响方案有效性等任意一种情形。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116" w:hRule="atLeast"/>
        </w:trPr>
        <w:tc>
          <w:tcPr>
            <w:tcW w:w="469" w:type="dxa"/>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售后服务方案</w:t>
            </w:r>
          </w:p>
        </w:tc>
        <w:tc>
          <w:tcPr>
            <w:tcW w:w="1140"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5966" w:type="dxa"/>
            <w:noWrap w:val="0"/>
            <w:vAlign w:val="center"/>
          </w:tcPr>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供应商根据本项目需求，结合项目实际情况，制定售后服务方案，至少包含下述</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项要点：</w:t>
            </w:r>
            <w:r>
              <w:rPr>
                <w:rFonts w:hint="eastAsia" w:ascii="仿宋" w:hAnsi="仿宋" w:eastAsia="仿宋" w:cs="仿宋"/>
                <w:b/>
                <w:bCs/>
                <w:color w:val="auto"/>
                <w:sz w:val="21"/>
                <w:szCs w:val="21"/>
                <w:highlight w:val="none"/>
                <w:lang w:val="en-US" w:eastAsia="zh-CN"/>
              </w:rPr>
              <w:t>质保期内服务、人员配置、售后响应时间、设置专人负责该项目</w:t>
            </w:r>
            <w:r>
              <w:rPr>
                <w:rFonts w:hint="eastAsia" w:ascii="仿宋" w:hAnsi="仿宋" w:eastAsia="仿宋" w:cs="仿宋"/>
                <w:color w:val="auto"/>
                <w:sz w:val="21"/>
                <w:szCs w:val="21"/>
                <w:highlight w:val="none"/>
                <w:lang w:val="en-US" w:eastAsia="zh-CN"/>
              </w:rPr>
              <w:t>。每项要点满分3分，共计12分。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符合项目需求，无缺陷得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内容存在缺陷的，得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内容存在不符合项目需求的，得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（4）未提供，得0分。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注：缺陷指对项目需求理解存在偏差、存在相互矛盾内容、未针对本项目编写等任意一种情形。</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不符合项目需求是指存在与本项目执行无关的内容、存在相关内容在实际操作中不能运用、使用的工作方法、标准、依据、流程等有错误影响方案有效性等任意一种情形。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16" w:hRule="atLeast"/>
        </w:trPr>
        <w:tc>
          <w:tcPr>
            <w:tcW w:w="469" w:type="dxa"/>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突发事件</w:t>
            </w:r>
            <w:r>
              <w:rPr>
                <w:rFonts w:hint="eastAsia" w:ascii="仿宋" w:hAnsi="仿宋" w:eastAsia="仿宋" w:cs="仿宋"/>
                <w:color w:val="auto"/>
                <w:sz w:val="21"/>
                <w:szCs w:val="21"/>
                <w:highlight w:val="none"/>
                <w:lang w:eastAsia="zh-CN"/>
              </w:rPr>
              <w:t>方案</w:t>
            </w:r>
          </w:p>
        </w:tc>
        <w:tc>
          <w:tcPr>
            <w:tcW w:w="1140"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5966" w:type="dxa"/>
            <w:noWrap w:val="0"/>
            <w:vAlign w:val="center"/>
          </w:tcPr>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供应商根据本项目需求，结合项目实际情况，制定突发事件应急方案，至少包含下述</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项要点：</w:t>
            </w:r>
            <w:r>
              <w:rPr>
                <w:rFonts w:hint="eastAsia" w:ascii="仿宋" w:hAnsi="仿宋" w:eastAsia="仿宋" w:cs="仿宋"/>
                <w:b/>
                <w:bCs/>
                <w:color w:val="auto"/>
                <w:sz w:val="21"/>
                <w:szCs w:val="21"/>
                <w:highlight w:val="none"/>
                <w:lang w:val="en-US" w:eastAsia="zh-CN"/>
              </w:rPr>
              <w:t>突发事件情形、对应的处理措施、突发事件响应时间</w:t>
            </w:r>
            <w:r>
              <w:rPr>
                <w:rFonts w:hint="eastAsia" w:ascii="仿宋" w:hAnsi="仿宋" w:eastAsia="仿宋" w:cs="仿宋"/>
                <w:color w:val="auto"/>
                <w:sz w:val="21"/>
                <w:szCs w:val="21"/>
                <w:highlight w:val="none"/>
                <w:lang w:val="en-US" w:eastAsia="zh-CN"/>
              </w:rPr>
              <w:t>。每项要点满分3分，共计9分。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符合项目需求，无缺陷得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内容存在缺陷的，得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每项要点</w:t>
            </w:r>
            <w:r>
              <w:rPr>
                <w:rFonts w:hint="eastAsia" w:ascii="仿宋" w:hAnsi="仿宋" w:eastAsia="仿宋" w:cs="仿宋"/>
                <w:color w:val="auto"/>
                <w:sz w:val="21"/>
                <w:szCs w:val="21"/>
                <w:highlight w:val="none"/>
              </w:rPr>
              <w:t>内容存在不符合项目需求的，得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（4）未提供，得0分。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注：缺陷指对项目需求理解存在偏差、存在相互矛盾内容、未针对本项目编写等任意一种情形。</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不符合项目需求是指存在与本项目执行无关的内容、存在相关内容在实际操作中不能运用、使用的工作方法、标准、依据、流程等有错误影响方案有效性等任意一种情形。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16" w:hRule="atLeast"/>
        </w:trPr>
        <w:tc>
          <w:tcPr>
            <w:tcW w:w="469" w:type="dxa"/>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服务管理团队配备</w:t>
            </w:r>
          </w:p>
        </w:tc>
        <w:tc>
          <w:tcPr>
            <w:tcW w:w="1140" w:type="dxa"/>
            <w:noWrap w:val="0"/>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5966" w:type="dxa"/>
            <w:noWrap w:val="0"/>
            <w:vAlign w:val="center"/>
          </w:tcPr>
          <w:p>
            <w:pPr>
              <w:snapToGrid w:val="0"/>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投标人拟配备本项目服务管理团队，包括管理、销售、设计及相关的实施人员。</w:t>
            </w:r>
          </w:p>
          <w:p>
            <w:pPr>
              <w:snapToGrid w:val="0"/>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）各类人员配置齐全，均具有与本项目相关工作经验，得</w:t>
            </w:r>
            <w:r>
              <w:rPr>
                <w:rFonts w:hint="eastAsia" w:ascii="仿宋" w:hAnsi="仿宋" w:eastAsia="仿宋" w:cs="仿宋"/>
                <w:color w:val="auto"/>
                <w:sz w:val="21"/>
                <w:szCs w:val="21"/>
                <w:highlight w:val="none"/>
                <w:lang w:val="en-US" w:eastAsia="zh-CN"/>
              </w:rPr>
              <w:t>5分；</w:t>
            </w:r>
          </w:p>
          <w:p>
            <w:pPr>
              <w:snapToGrid w:val="0"/>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（2）各类人员配置齐全，部分人员</w:t>
            </w:r>
            <w:r>
              <w:rPr>
                <w:rFonts w:hint="eastAsia" w:ascii="仿宋" w:hAnsi="仿宋" w:eastAsia="仿宋" w:cs="仿宋"/>
                <w:color w:val="auto"/>
                <w:sz w:val="21"/>
                <w:szCs w:val="21"/>
                <w:highlight w:val="none"/>
                <w:lang w:eastAsia="zh-CN"/>
              </w:rPr>
              <w:t>与</w:t>
            </w:r>
            <w:r>
              <w:rPr>
                <w:rFonts w:hint="eastAsia" w:ascii="仿宋" w:hAnsi="仿宋" w:eastAsia="仿宋" w:cs="仿宋"/>
                <w:color w:val="auto"/>
                <w:sz w:val="21"/>
                <w:szCs w:val="21"/>
                <w:highlight w:val="none"/>
                <w:lang w:val="en-US" w:eastAsia="zh-CN"/>
              </w:rPr>
              <w:t>本项目相关工作经验，得3分；</w:t>
            </w:r>
          </w:p>
          <w:p>
            <w:pPr>
              <w:snapToGrid w:val="0"/>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（3）人员配置不全，得1分。</w:t>
            </w:r>
          </w:p>
          <w:p>
            <w:pPr>
              <w:snapToGrid w:val="0"/>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未提供不得分。</w:t>
            </w:r>
          </w:p>
          <w:p>
            <w:pPr>
              <w:snapToGrid w:val="0"/>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（提供人员配置列表，各类人员需提供人员简介（简介中需体现从业年限）、身份证复印件及劳动合同复印件，提供不全视为未配备该人员）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Merge w:val="restart"/>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48" w:type="dxa"/>
            <w:vMerge w:val="restar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w:t>
            </w:r>
          </w:p>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部分</w:t>
            </w: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投标人业绩</w:t>
            </w:r>
          </w:p>
        </w:tc>
        <w:tc>
          <w:tcPr>
            <w:tcW w:w="1140" w:type="dxa"/>
            <w:noWrap w:val="0"/>
            <w:vAlign w:val="center"/>
          </w:tcPr>
          <w:p>
            <w:pPr>
              <w:jc w:val="center"/>
              <w:rPr>
                <w:rFonts w:hint="default" w:ascii="仿宋" w:hAnsi="仿宋" w:eastAsia="仿宋" w:cs="仿宋"/>
                <w:color w:val="auto"/>
                <w:sz w:val="21"/>
                <w:szCs w:val="21"/>
                <w:highlight w:val="none"/>
                <w:lang w:val="en-US"/>
              </w:rPr>
            </w:pPr>
            <w:r>
              <w:rPr>
                <w:rFonts w:hint="eastAsia" w:ascii="仿宋" w:hAnsi="仿宋" w:cs="仿宋"/>
                <w:color w:val="auto"/>
                <w:sz w:val="21"/>
                <w:szCs w:val="21"/>
                <w:highlight w:val="none"/>
                <w:lang w:val="en-US" w:eastAsia="zh-CN"/>
              </w:rPr>
              <w:t>10</w:t>
            </w:r>
          </w:p>
        </w:tc>
        <w:tc>
          <w:tcPr>
            <w:tcW w:w="5966" w:type="dxa"/>
            <w:noWrap w:val="0"/>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 20</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 xml:space="preserve"> 年</w:t>
            </w:r>
            <w:r>
              <w:rPr>
                <w:rFonts w:hint="eastAsia" w:ascii="仿宋" w:hAnsi="仿宋" w:eastAsia="仿宋" w:cs="仿宋"/>
                <w:color w:val="auto"/>
                <w:sz w:val="21"/>
                <w:szCs w:val="21"/>
                <w:highlight w:val="none"/>
                <w:lang w:eastAsia="zh-CN"/>
              </w:rPr>
              <w:t>至今</w:t>
            </w:r>
            <w:r>
              <w:rPr>
                <w:rFonts w:hint="eastAsia"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eastAsia="zh-CN"/>
              </w:rPr>
              <w:t>类似项目</w:t>
            </w:r>
            <w:r>
              <w:rPr>
                <w:rFonts w:hint="eastAsia" w:ascii="仿宋" w:hAnsi="仿宋" w:eastAsia="仿宋" w:cs="仿宋"/>
                <w:color w:val="auto"/>
                <w:sz w:val="21"/>
                <w:szCs w:val="21"/>
                <w:highlight w:val="none"/>
              </w:rPr>
              <w:t xml:space="preserve">供货服务成功案例的，每有 1 </w:t>
            </w:r>
            <w:r>
              <w:rPr>
                <w:rFonts w:hint="eastAsia" w:ascii="仿宋" w:hAnsi="仿宋" w:eastAsia="仿宋" w:cs="仿宋"/>
                <w:color w:val="auto"/>
                <w:sz w:val="21"/>
                <w:szCs w:val="21"/>
                <w:highlight w:val="none"/>
                <w:lang w:eastAsia="zh-CN"/>
              </w:rPr>
              <w:t>个</w:t>
            </w:r>
            <w:r>
              <w:rPr>
                <w:rFonts w:hint="eastAsia" w:ascii="仿宋" w:hAnsi="仿宋" w:eastAsia="仿宋" w:cs="仿宋"/>
                <w:color w:val="auto"/>
                <w:sz w:val="21"/>
                <w:szCs w:val="21"/>
                <w:highlight w:val="none"/>
              </w:rPr>
              <w:t xml:space="preserve">得 </w:t>
            </w:r>
            <w:r>
              <w:rPr>
                <w:rFonts w:hint="eastAsia" w:ascii="仿宋" w:hAnsi="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分，最多得 </w:t>
            </w:r>
            <w:r>
              <w:rPr>
                <w:rFonts w:hint="eastAsia" w:ascii="仿宋" w:hAnsi="仿宋" w:cs="仿宋"/>
                <w:color w:val="auto"/>
                <w:sz w:val="21"/>
                <w:szCs w:val="21"/>
                <w:highlight w:val="none"/>
                <w:lang w:val="en-US" w:eastAsia="zh-CN"/>
              </w:rPr>
              <w:t>10</w:t>
            </w:r>
            <w:r>
              <w:rPr>
                <w:rFonts w:hint="eastAsia" w:ascii="仿宋" w:hAnsi="仿宋" w:eastAsia="仿宋" w:cs="仿宋"/>
                <w:color w:val="auto"/>
                <w:sz w:val="21"/>
                <w:szCs w:val="21"/>
                <w:highlight w:val="none"/>
              </w:rPr>
              <w:t>分。（证明材料为销售协议或合同的复印件，投标人与同一家</w:t>
            </w:r>
            <w:r>
              <w:rPr>
                <w:rFonts w:hint="eastAsia" w:ascii="仿宋" w:hAnsi="仿宋" w:eastAsia="仿宋" w:cs="仿宋"/>
                <w:color w:val="auto"/>
                <w:sz w:val="21"/>
                <w:szCs w:val="21"/>
                <w:highlight w:val="none"/>
                <w:lang w:eastAsia="zh-CN"/>
              </w:rPr>
              <w:t>单位</w:t>
            </w:r>
            <w:r>
              <w:rPr>
                <w:rFonts w:hint="eastAsia" w:ascii="仿宋" w:hAnsi="仿宋" w:eastAsia="仿宋" w:cs="仿宋"/>
                <w:color w:val="auto"/>
                <w:sz w:val="21"/>
                <w:szCs w:val="21"/>
                <w:highlight w:val="none"/>
              </w:rPr>
              <w:t>签订的多份协议或合同的只能算作一个案例）。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004" w:hRule="atLeast"/>
        </w:trPr>
        <w:tc>
          <w:tcPr>
            <w:tcW w:w="0" w:type="auto"/>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体系认证证书</w:t>
            </w:r>
          </w:p>
        </w:tc>
        <w:tc>
          <w:tcPr>
            <w:tcW w:w="1140" w:type="dxa"/>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966" w:type="dxa"/>
            <w:noWrap w:val="0"/>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所投核心产品生产厂商</w:t>
            </w:r>
            <w:r>
              <w:rPr>
                <w:rFonts w:hint="eastAsia" w:ascii="仿宋" w:hAnsi="仿宋" w:eastAsia="仿宋" w:cs="仿宋"/>
                <w:color w:val="auto"/>
                <w:sz w:val="21"/>
                <w:szCs w:val="21"/>
                <w:highlight w:val="none"/>
              </w:rPr>
              <w:t>具有有效的质量管理体系认证证书</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rPr>
              <w:t>。</w:t>
            </w:r>
          </w:p>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提供证书复印件加盖公章，未提供不得分</w:t>
            </w:r>
            <w:r>
              <w:rPr>
                <w:rFonts w:hint="eastAsia" w:ascii="仿宋" w:hAnsi="仿宋" w:eastAsia="仿宋" w:cs="仿宋"/>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trPr>
        <w:tc>
          <w:tcPr>
            <w:tcW w:w="0" w:type="auto"/>
            <w:vMerge w:val="continue"/>
            <w:noWrap w:val="0"/>
            <w:vAlign w:val="center"/>
          </w:tcPr>
          <w:p>
            <w:pPr>
              <w:rPr>
                <w:rFonts w:hint="eastAsia" w:ascii="仿宋" w:hAnsi="仿宋" w:eastAsia="仿宋" w:cs="仿宋"/>
                <w:color w:val="auto"/>
                <w:sz w:val="21"/>
                <w:szCs w:val="21"/>
                <w:highlight w:val="none"/>
              </w:rPr>
            </w:pPr>
          </w:p>
        </w:tc>
        <w:tc>
          <w:tcPr>
            <w:tcW w:w="848" w:type="dxa"/>
            <w:vMerge w:val="continue"/>
            <w:noWrap w:val="0"/>
            <w:vAlign w:val="center"/>
          </w:tcPr>
          <w:p>
            <w:pPr>
              <w:rPr>
                <w:rFonts w:hint="eastAsia" w:ascii="仿宋" w:hAnsi="仿宋" w:eastAsia="仿宋" w:cs="仿宋"/>
                <w:color w:val="auto"/>
                <w:sz w:val="21"/>
                <w:szCs w:val="21"/>
                <w:highlight w:val="none"/>
              </w:rPr>
            </w:pPr>
          </w:p>
        </w:tc>
        <w:tc>
          <w:tcPr>
            <w:tcW w:w="975"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w:t>
            </w:r>
          </w:p>
        </w:tc>
        <w:tc>
          <w:tcPr>
            <w:tcW w:w="1140"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cs="仿宋"/>
                <w:color w:val="auto"/>
                <w:sz w:val="21"/>
                <w:szCs w:val="21"/>
                <w:highlight w:val="none"/>
                <w:lang w:val="en-US" w:eastAsia="zh-CN"/>
              </w:rPr>
              <w:t>5</w:t>
            </w:r>
          </w:p>
        </w:tc>
        <w:tc>
          <w:tcPr>
            <w:tcW w:w="5966" w:type="dxa"/>
            <w:noWrap w:val="0"/>
            <w:vAlign w:val="center"/>
          </w:tcPr>
          <w:p>
            <w:pPr>
              <w:numPr>
                <w:ilvl w:val="0"/>
                <w:numId w:val="0"/>
              </w:numPr>
              <w:snapToGrid w:val="0"/>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供应商评审现场提供尸床垫（耐火垫）、骨灰盒2、纸棺1产品样品，评标委员会根据所提供样品进行评分：</w:t>
            </w:r>
          </w:p>
          <w:p>
            <w:pPr>
              <w:numPr>
                <w:ilvl w:val="0"/>
                <w:numId w:val="0"/>
              </w:numPr>
              <w:snapToGrid w:val="0"/>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cs="仿宋"/>
                <w:color w:val="auto"/>
                <w:sz w:val="21"/>
                <w:szCs w:val="21"/>
                <w:highlight w:val="none"/>
                <w:lang w:val="en-US" w:eastAsia="zh-CN"/>
              </w:rPr>
              <w:t>样品提供齐全；</w:t>
            </w:r>
            <w:r>
              <w:rPr>
                <w:rFonts w:hint="eastAsia" w:ascii="仿宋" w:hAnsi="仿宋" w:eastAsia="仿宋" w:cs="仿宋"/>
                <w:color w:val="auto"/>
                <w:sz w:val="21"/>
                <w:szCs w:val="21"/>
                <w:highlight w:val="none"/>
                <w:lang w:val="en-US" w:eastAsia="zh-CN"/>
              </w:rPr>
              <w:t>尸床垫（耐火垫）</w:t>
            </w:r>
            <w:r>
              <w:rPr>
                <w:rFonts w:hint="eastAsia" w:ascii="仿宋" w:hAnsi="仿宋" w:cs="仿宋"/>
                <w:color w:val="auto"/>
                <w:sz w:val="21"/>
                <w:szCs w:val="21"/>
                <w:highlight w:val="none"/>
                <w:lang w:val="en-US" w:eastAsia="zh-CN"/>
              </w:rPr>
              <w:t>尺寸符合采购需求、耐用；骨灰盒</w:t>
            </w:r>
            <w:r>
              <w:rPr>
                <w:rFonts w:hint="eastAsia" w:ascii="仿宋" w:hAnsi="仿宋" w:eastAsia="仿宋" w:cs="仿宋"/>
                <w:color w:val="auto"/>
                <w:sz w:val="21"/>
                <w:szCs w:val="21"/>
                <w:highlight w:val="none"/>
                <w:lang w:val="en-US" w:eastAsia="zh-CN"/>
              </w:rPr>
              <w:t>制作工艺精细，色泽均匀，表面光滑</w:t>
            </w:r>
            <w:r>
              <w:rPr>
                <w:rFonts w:hint="eastAsia" w:ascii="仿宋" w:hAnsi="仿宋" w:cs="仿宋"/>
                <w:color w:val="auto"/>
                <w:sz w:val="21"/>
                <w:szCs w:val="21"/>
                <w:highlight w:val="none"/>
                <w:lang w:val="en-US" w:eastAsia="zh-CN"/>
              </w:rPr>
              <w:t>无瑕疵</w:t>
            </w:r>
            <w:r>
              <w:rPr>
                <w:rFonts w:hint="eastAsia" w:ascii="仿宋" w:hAnsi="仿宋" w:eastAsia="仿宋" w:cs="仿宋"/>
                <w:color w:val="auto"/>
                <w:sz w:val="21"/>
                <w:szCs w:val="21"/>
                <w:highlight w:val="none"/>
                <w:lang w:val="en-US" w:eastAsia="zh-CN"/>
              </w:rPr>
              <w:t>，外观款式、尺寸与采购文件要求完全一致，整体庄重、协调，符合殡葬文化和习俗要求</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纸棺</w:t>
            </w:r>
            <w:r>
              <w:rPr>
                <w:rFonts w:hint="eastAsia" w:ascii="仿宋" w:hAnsi="仿宋" w:cs="仿宋"/>
                <w:color w:val="auto"/>
                <w:sz w:val="21"/>
                <w:szCs w:val="21"/>
                <w:highlight w:val="none"/>
                <w:lang w:val="en-US" w:eastAsia="zh-CN"/>
              </w:rPr>
              <w:t>尺寸符合采购需求，</w:t>
            </w:r>
            <w:r>
              <w:rPr>
                <w:rFonts w:hint="eastAsia" w:ascii="仿宋" w:hAnsi="仿宋" w:eastAsia="仿宋" w:cs="仿宋"/>
                <w:color w:val="auto"/>
                <w:kern w:val="2"/>
                <w:sz w:val="21"/>
                <w:szCs w:val="21"/>
                <w:highlight w:val="none"/>
                <w:lang w:val="en-US" w:eastAsia="zh-CN" w:bidi="ar-SA"/>
              </w:rPr>
              <w:t>棺身纸厚</w:t>
            </w:r>
            <w:r>
              <w:rPr>
                <w:rFonts w:hint="eastAsia" w:ascii="仿宋" w:hAnsi="仿宋" w:cs="仿宋"/>
                <w:color w:val="auto"/>
                <w:kern w:val="2"/>
                <w:sz w:val="21"/>
                <w:szCs w:val="21"/>
                <w:highlight w:val="none"/>
                <w:lang w:val="en-US" w:eastAsia="zh-CN" w:bidi="ar-SA"/>
              </w:rPr>
              <w:t>度符合采购需求；</w:t>
            </w:r>
            <w:r>
              <w:rPr>
                <w:rFonts w:hint="eastAsia" w:ascii="仿宋" w:hAnsi="仿宋" w:eastAsia="仿宋" w:cs="仿宋"/>
                <w:color w:val="auto"/>
                <w:sz w:val="21"/>
                <w:szCs w:val="21"/>
                <w:highlight w:val="none"/>
                <w:lang w:val="en-US" w:eastAsia="zh-CN"/>
              </w:rPr>
              <w:t>得</w:t>
            </w:r>
            <w:r>
              <w:rPr>
                <w:rFonts w:hint="eastAsia" w:ascii="仿宋" w:hAnsi="仿宋" w:cs="仿宋"/>
                <w:color w:val="auto"/>
                <w:sz w:val="21"/>
                <w:szCs w:val="21"/>
                <w:highlight w:val="none"/>
                <w:lang w:val="en-US" w:eastAsia="zh-CN"/>
              </w:rPr>
              <w:t>5</w:t>
            </w:r>
            <w:r>
              <w:rPr>
                <w:rFonts w:hint="eastAsia" w:ascii="仿宋" w:hAnsi="仿宋" w:eastAsia="仿宋" w:cs="仿宋"/>
                <w:color w:val="auto"/>
                <w:sz w:val="21"/>
                <w:szCs w:val="21"/>
                <w:highlight w:val="none"/>
                <w:lang w:val="en-US" w:eastAsia="zh-CN"/>
              </w:rPr>
              <w:t>分；</w:t>
            </w:r>
          </w:p>
          <w:p>
            <w:pPr>
              <w:numPr>
                <w:ilvl w:val="0"/>
                <w:numId w:val="0"/>
              </w:numPr>
              <w:snapToGrid w:val="0"/>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cs="仿宋"/>
                <w:color w:val="auto"/>
                <w:sz w:val="21"/>
                <w:szCs w:val="21"/>
                <w:highlight w:val="none"/>
                <w:lang w:val="en-US" w:eastAsia="zh-CN"/>
              </w:rPr>
              <w:t>样品提供齐全；</w:t>
            </w:r>
            <w:r>
              <w:rPr>
                <w:rFonts w:hint="eastAsia" w:ascii="仿宋" w:hAnsi="仿宋" w:eastAsia="仿宋" w:cs="仿宋"/>
                <w:color w:val="auto"/>
                <w:sz w:val="21"/>
                <w:szCs w:val="21"/>
                <w:highlight w:val="none"/>
                <w:lang w:val="en-US" w:eastAsia="zh-CN"/>
              </w:rPr>
              <w:t>尸床垫（耐火垫）</w:t>
            </w:r>
            <w:r>
              <w:rPr>
                <w:rFonts w:hint="eastAsia" w:ascii="仿宋" w:hAnsi="仿宋" w:cs="仿宋"/>
                <w:color w:val="auto"/>
                <w:sz w:val="21"/>
                <w:szCs w:val="21"/>
                <w:highlight w:val="none"/>
                <w:lang w:val="en-US" w:eastAsia="zh-CN"/>
              </w:rPr>
              <w:t>尺寸符合采购需求、耐用；骨灰盒</w:t>
            </w:r>
            <w:r>
              <w:rPr>
                <w:rFonts w:hint="eastAsia" w:ascii="仿宋" w:hAnsi="仿宋" w:eastAsia="仿宋" w:cs="仿宋"/>
                <w:color w:val="auto"/>
                <w:sz w:val="21"/>
                <w:szCs w:val="21"/>
                <w:highlight w:val="none"/>
                <w:lang w:val="en-US" w:eastAsia="zh-CN"/>
              </w:rPr>
              <w:t>色泽均匀，表面</w:t>
            </w:r>
            <w:r>
              <w:rPr>
                <w:rFonts w:hint="eastAsia" w:ascii="仿宋" w:hAnsi="仿宋" w:cs="仿宋"/>
                <w:color w:val="auto"/>
                <w:sz w:val="21"/>
                <w:szCs w:val="21"/>
                <w:highlight w:val="none"/>
                <w:lang w:val="en-US" w:eastAsia="zh-CN"/>
              </w:rPr>
              <w:t>稍有瑕疵</w:t>
            </w:r>
            <w:r>
              <w:rPr>
                <w:rFonts w:hint="eastAsia" w:ascii="仿宋" w:hAnsi="仿宋" w:eastAsia="仿宋" w:cs="仿宋"/>
                <w:color w:val="auto"/>
                <w:sz w:val="21"/>
                <w:szCs w:val="21"/>
                <w:highlight w:val="none"/>
                <w:lang w:val="en-US" w:eastAsia="zh-CN"/>
              </w:rPr>
              <w:t>，外观款式、尺寸与采购文件要求完全一致，整体庄重、协调，符合殡葬文化和习俗要求</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纸棺</w:t>
            </w:r>
            <w:r>
              <w:rPr>
                <w:rFonts w:hint="eastAsia" w:ascii="仿宋" w:hAnsi="仿宋" w:cs="仿宋"/>
                <w:color w:val="auto"/>
                <w:sz w:val="21"/>
                <w:szCs w:val="21"/>
                <w:highlight w:val="none"/>
                <w:lang w:val="en-US" w:eastAsia="zh-CN"/>
              </w:rPr>
              <w:t>尺寸符合采购需求，</w:t>
            </w:r>
            <w:r>
              <w:rPr>
                <w:rFonts w:hint="eastAsia" w:ascii="仿宋" w:hAnsi="仿宋" w:eastAsia="仿宋" w:cs="仿宋"/>
                <w:color w:val="auto"/>
                <w:kern w:val="2"/>
                <w:sz w:val="21"/>
                <w:szCs w:val="21"/>
                <w:highlight w:val="none"/>
                <w:lang w:val="en-US" w:eastAsia="zh-CN" w:bidi="ar-SA"/>
              </w:rPr>
              <w:t>棺身纸厚</w:t>
            </w:r>
            <w:r>
              <w:rPr>
                <w:rFonts w:hint="eastAsia" w:ascii="仿宋" w:hAnsi="仿宋" w:cs="仿宋"/>
                <w:color w:val="auto"/>
                <w:kern w:val="2"/>
                <w:sz w:val="21"/>
                <w:szCs w:val="21"/>
                <w:highlight w:val="none"/>
                <w:lang w:val="en-US" w:eastAsia="zh-CN" w:bidi="ar-SA"/>
              </w:rPr>
              <w:t>度符合采购需求；</w:t>
            </w:r>
            <w:r>
              <w:rPr>
                <w:rFonts w:hint="eastAsia" w:ascii="仿宋" w:hAnsi="仿宋" w:eastAsia="仿宋" w:cs="仿宋"/>
                <w:color w:val="auto"/>
                <w:sz w:val="21"/>
                <w:szCs w:val="21"/>
                <w:highlight w:val="none"/>
                <w:lang w:val="en-US" w:eastAsia="zh-CN"/>
              </w:rPr>
              <w:t>得</w:t>
            </w:r>
            <w:r>
              <w:rPr>
                <w:rFonts w:hint="eastAsia" w:ascii="仿宋" w:hAnsi="仿宋" w:cs="仿宋"/>
                <w:color w:val="auto"/>
                <w:sz w:val="21"/>
                <w:szCs w:val="21"/>
                <w:highlight w:val="none"/>
                <w:lang w:val="en-US" w:eastAsia="zh-CN"/>
              </w:rPr>
              <w:t>3</w:t>
            </w:r>
            <w:r>
              <w:rPr>
                <w:rFonts w:hint="eastAsia" w:ascii="仿宋" w:hAnsi="仿宋" w:eastAsia="仿宋" w:cs="仿宋"/>
                <w:color w:val="auto"/>
                <w:sz w:val="21"/>
                <w:szCs w:val="21"/>
                <w:highlight w:val="none"/>
                <w:lang w:val="en-US" w:eastAsia="zh-CN"/>
              </w:rPr>
              <w:t>分；</w:t>
            </w:r>
          </w:p>
          <w:p>
            <w:pPr>
              <w:numPr>
                <w:ilvl w:val="0"/>
                <w:numId w:val="0"/>
              </w:numPr>
              <w:snapToGrid w:val="0"/>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cs="仿宋"/>
                <w:color w:val="auto"/>
                <w:sz w:val="21"/>
                <w:szCs w:val="21"/>
                <w:highlight w:val="none"/>
                <w:lang w:val="en-US" w:eastAsia="zh-CN"/>
              </w:rPr>
              <w:t>样品提供齐全；</w:t>
            </w:r>
            <w:r>
              <w:rPr>
                <w:rFonts w:hint="eastAsia" w:ascii="仿宋" w:hAnsi="仿宋" w:eastAsia="仿宋" w:cs="仿宋"/>
                <w:color w:val="auto"/>
                <w:sz w:val="21"/>
                <w:szCs w:val="21"/>
                <w:highlight w:val="none"/>
                <w:lang w:val="en-US" w:eastAsia="zh-CN"/>
              </w:rPr>
              <w:t>尸床垫（耐火垫）</w:t>
            </w:r>
            <w:r>
              <w:rPr>
                <w:rFonts w:hint="eastAsia" w:ascii="仿宋" w:hAnsi="仿宋" w:cs="仿宋"/>
                <w:color w:val="auto"/>
                <w:sz w:val="21"/>
                <w:szCs w:val="21"/>
                <w:highlight w:val="none"/>
                <w:lang w:val="en-US" w:eastAsia="zh-CN"/>
              </w:rPr>
              <w:t>尺寸符合采购需求；骨灰盒</w:t>
            </w:r>
            <w:r>
              <w:rPr>
                <w:rFonts w:hint="eastAsia" w:ascii="仿宋" w:hAnsi="仿宋" w:eastAsia="仿宋" w:cs="仿宋"/>
                <w:color w:val="auto"/>
                <w:sz w:val="21"/>
                <w:szCs w:val="21"/>
                <w:highlight w:val="none"/>
                <w:lang w:val="en-US" w:eastAsia="zh-CN"/>
              </w:rPr>
              <w:t>色泽</w:t>
            </w:r>
            <w:r>
              <w:rPr>
                <w:rFonts w:hint="eastAsia" w:ascii="仿宋" w:hAnsi="仿宋" w:cs="仿宋"/>
                <w:color w:val="auto"/>
                <w:sz w:val="21"/>
                <w:szCs w:val="21"/>
                <w:highlight w:val="none"/>
                <w:lang w:val="en-US" w:eastAsia="zh-CN"/>
              </w:rPr>
              <w:t>不</w:t>
            </w:r>
            <w:r>
              <w:rPr>
                <w:rFonts w:hint="eastAsia" w:ascii="仿宋" w:hAnsi="仿宋" w:eastAsia="仿宋" w:cs="仿宋"/>
                <w:color w:val="auto"/>
                <w:sz w:val="21"/>
                <w:szCs w:val="21"/>
                <w:highlight w:val="none"/>
                <w:lang w:val="en-US" w:eastAsia="zh-CN"/>
              </w:rPr>
              <w:t>均匀，表面</w:t>
            </w:r>
            <w:r>
              <w:rPr>
                <w:rFonts w:hint="eastAsia" w:ascii="仿宋" w:hAnsi="仿宋" w:cs="仿宋"/>
                <w:color w:val="auto"/>
                <w:sz w:val="21"/>
                <w:szCs w:val="21"/>
                <w:highlight w:val="none"/>
                <w:lang w:val="en-US" w:eastAsia="zh-CN"/>
              </w:rPr>
              <w:t>稍有瑕疵</w:t>
            </w:r>
            <w:r>
              <w:rPr>
                <w:rFonts w:hint="eastAsia" w:ascii="仿宋" w:hAnsi="仿宋" w:eastAsia="仿宋" w:cs="仿宋"/>
                <w:color w:val="auto"/>
                <w:sz w:val="21"/>
                <w:szCs w:val="21"/>
                <w:highlight w:val="none"/>
                <w:lang w:val="en-US" w:eastAsia="zh-CN"/>
              </w:rPr>
              <w:t>，外观款式、尺寸与采购文件要求</w:t>
            </w:r>
            <w:r>
              <w:rPr>
                <w:rFonts w:hint="eastAsia" w:ascii="仿宋" w:hAnsi="仿宋" w:cs="仿宋"/>
                <w:color w:val="auto"/>
                <w:sz w:val="21"/>
                <w:szCs w:val="21"/>
                <w:highlight w:val="none"/>
                <w:lang w:val="en-US" w:eastAsia="zh-CN"/>
              </w:rPr>
              <w:t>稍有偏差；</w:t>
            </w:r>
            <w:r>
              <w:rPr>
                <w:rFonts w:hint="eastAsia" w:ascii="仿宋" w:hAnsi="仿宋" w:eastAsia="仿宋" w:cs="仿宋"/>
                <w:color w:val="auto"/>
                <w:sz w:val="21"/>
                <w:szCs w:val="21"/>
                <w:highlight w:val="none"/>
                <w:lang w:val="en-US" w:eastAsia="zh-CN"/>
              </w:rPr>
              <w:t>纸棺</w:t>
            </w:r>
            <w:r>
              <w:rPr>
                <w:rFonts w:hint="eastAsia" w:ascii="仿宋" w:hAnsi="仿宋" w:cs="仿宋"/>
                <w:color w:val="auto"/>
                <w:sz w:val="21"/>
                <w:szCs w:val="21"/>
                <w:highlight w:val="none"/>
                <w:lang w:val="en-US" w:eastAsia="zh-CN"/>
              </w:rPr>
              <w:t>尺寸符合采购需求，</w:t>
            </w:r>
            <w:r>
              <w:rPr>
                <w:rFonts w:hint="eastAsia" w:ascii="仿宋" w:hAnsi="仿宋" w:eastAsia="仿宋" w:cs="仿宋"/>
                <w:color w:val="auto"/>
                <w:kern w:val="2"/>
                <w:sz w:val="21"/>
                <w:szCs w:val="21"/>
                <w:highlight w:val="none"/>
                <w:lang w:val="en-US" w:eastAsia="zh-CN" w:bidi="ar-SA"/>
              </w:rPr>
              <w:t>棺身纸厚</w:t>
            </w:r>
            <w:r>
              <w:rPr>
                <w:rFonts w:hint="eastAsia" w:ascii="仿宋" w:hAnsi="仿宋" w:cs="仿宋"/>
                <w:color w:val="auto"/>
                <w:kern w:val="2"/>
                <w:sz w:val="21"/>
                <w:szCs w:val="21"/>
                <w:highlight w:val="none"/>
                <w:lang w:val="en-US" w:eastAsia="zh-CN" w:bidi="ar-SA"/>
              </w:rPr>
              <w:t>度符合采购需求；</w:t>
            </w:r>
            <w:r>
              <w:rPr>
                <w:rFonts w:hint="eastAsia" w:ascii="仿宋" w:hAnsi="仿宋" w:eastAsia="仿宋" w:cs="仿宋"/>
                <w:color w:val="auto"/>
                <w:sz w:val="21"/>
                <w:szCs w:val="21"/>
                <w:highlight w:val="none"/>
                <w:lang w:val="en-US" w:eastAsia="zh-CN"/>
              </w:rPr>
              <w:t>得</w:t>
            </w:r>
            <w:r>
              <w:rPr>
                <w:rFonts w:hint="eastAsia" w:ascii="仿宋" w:hAnsi="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分；</w:t>
            </w:r>
          </w:p>
          <w:p>
            <w:pPr>
              <w:pStyle w:val="2"/>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cs="仿宋"/>
                <w:color w:val="auto"/>
                <w:sz w:val="21"/>
                <w:szCs w:val="21"/>
                <w:highlight w:val="none"/>
                <w:lang w:val="en-US" w:eastAsia="zh-CN"/>
              </w:rPr>
              <w:t>样品提供不全或</w:t>
            </w:r>
            <w:r>
              <w:rPr>
                <w:rFonts w:hint="eastAsia" w:ascii="仿宋" w:hAnsi="仿宋" w:eastAsia="仿宋" w:cs="仿宋"/>
                <w:color w:val="auto"/>
                <w:sz w:val="21"/>
                <w:szCs w:val="21"/>
                <w:highlight w:val="none"/>
                <w:lang w:val="en-US" w:eastAsia="zh-CN"/>
              </w:rPr>
              <w:t>未提供得0分。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trPr>
        <w:tc>
          <w:tcPr>
            <w:tcW w:w="2292" w:type="dxa"/>
            <w:gridSpan w:val="3"/>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7106" w:type="dxa"/>
            <w:gridSpan w:val="2"/>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100分</w:t>
            </w:r>
          </w:p>
        </w:tc>
      </w:tr>
    </w:tbl>
    <w:p>
      <w:pPr>
        <w:rPr>
          <w:rFonts w:hint="eastAsia" w:ascii="仿宋" w:hAnsi="仿宋" w:cs="仿宋"/>
          <w:color w:val="auto"/>
          <w:highlight w:val="none"/>
        </w:rPr>
      </w:pPr>
    </w:p>
    <w:p>
      <w:pPr>
        <w:pStyle w:val="7"/>
        <w:ind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（二）加分项评分标准</w:t>
      </w:r>
    </w:p>
    <w:tbl>
      <w:tblPr>
        <w:tblStyle w:val="25"/>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加分</w:t>
            </w:r>
          </w:p>
          <w:p>
            <w:pPr>
              <w:jc w:val="center"/>
              <w:rPr>
                <w:rFonts w:hint="eastAsia" w:ascii="仿宋" w:hAnsi="仿宋" w:cs="仿宋"/>
                <w:color w:val="auto"/>
                <w:szCs w:val="21"/>
                <w:highlight w:val="none"/>
              </w:rPr>
            </w:pPr>
            <w:r>
              <w:rPr>
                <w:rFonts w:hint="eastAsia" w:ascii="仿宋" w:hAnsi="仿宋" w:cs="仿宋"/>
                <w:color w:val="auto"/>
                <w:szCs w:val="21"/>
                <w:highlight w:val="none"/>
              </w:rPr>
              <w:t>因素</w:t>
            </w:r>
          </w:p>
        </w:tc>
        <w:tc>
          <w:tcPr>
            <w:tcW w:w="7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节能</w:t>
            </w:r>
          </w:p>
          <w:p>
            <w:pPr>
              <w:jc w:val="center"/>
              <w:rPr>
                <w:rFonts w:hint="eastAsia" w:ascii="仿宋" w:hAnsi="仿宋" w:cs="仿宋"/>
                <w:color w:val="auto"/>
                <w:szCs w:val="21"/>
                <w:highlight w:val="none"/>
              </w:rPr>
            </w:pPr>
            <w:r>
              <w:rPr>
                <w:rFonts w:hint="eastAsia" w:ascii="仿宋" w:hAnsi="仿宋" w:cs="仿宋"/>
                <w:color w:val="auto"/>
                <w:szCs w:val="21"/>
                <w:highlight w:val="none"/>
              </w:rPr>
              <w:t>产品</w:t>
            </w:r>
          </w:p>
        </w:tc>
        <w:tc>
          <w:tcPr>
            <w:tcW w:w="766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对于清单中的投标产品价格给予价格部分总分值</w:t>
            </w:r>
            <w:r>
              <w:rPr>
                <w:rFonts w:hint="eastAsia" w:ascii="仿宋" w:hAnsi="仿宋" w:cs="仿宋"/>
                <w:color w:val="auto"/>
                <w:kern w:val="0"/>
                <w:szCs w:val="21"/>
                <w:highlight w:val="none"/>
                <w:u w:val="single"/>
              </w:rPr>
              <w:t>2</w:t>
            </w:r>
            <w:r>
              <w:rPr>
                <w:rFonts w:hint="eastAsia" w:ascii="仿宋" w:hAnsi="仿宋" w:cs="仿宋"/>
                <w:color w:val="auto"/>
                <w:kern w:val="0"/>
                <w:szCs w:val="21"/>
                <w:highlight w:val="none"/>
              </w:rPr>
              <w:t>%</w:t>
            </w:r>
            <w:r>
              <w:rPr>
                <w:rFonts w:hint="eastAsia" w:ascii="仿宋" w:hAnsi="仿宋" w:cs="仿宋"/>
                <w:color w:val="auto"/>
                <w:szCs w:val="21"/>
                <w:highlight w:val="none"/>
              </w:rPr>
              <w:t>的加分，计算公式如下：</w:t>
            </w:r>
          </w:p>
          <w:p>
            <w:pPr>
              <w:rPr>
                <w:rFonts w:hint="eastAsia" w:ascii="仿宋" w:hAnsi="仿宋" w:cs="仿宋"/>
                <w:color w:val="auto"/>
                <w:szCs w:val="21"/>
                <w:highlight w:val="none"/>
              </w:rPr>
            </w:pPr>
            <w:r>
              <w:rPr>
                <w:rFonts w:hint="eastAsia" w:ascii="仿宋" w:hAnsi="仿宋" w:cs="仿宋"/>
                <w:color w:val="auto"/>
                <w:szCs w:val="21"/>
                <w:highlight w:val="none"/>
              </w:rPr>
              <w:t>节能产品加分＝（节能产品投标报价之和/投标总价）×价格部分总分值</w:t>
            </w:r>
            <w:r>
              <w:rPr>
                <w:rFonts w:hint="eastAsia" w:ascii="仿宋" w:hAnsi="仿宋" w:cs="仿宋"/>
                <w:color w:val="auto"/>
                <w:szCs w:val="21"/>
                <w:highlight w:val="none"/>
                <w:u w:val="single"/>
                <w:lang w:val="en-US" w:eastAsia="zh-CN"/>
              </w:rPr>
              <w:t>3</w:t>
            </w:r>
            <w:r>
              <w:rPr>
                <w:rFonts w:hint="eastAsia" w:ascii="仿宋" w:hAnsi="仿宋" w:cs="仿宋"/>
                <w:color w:val="auto"/>
                <w:szCs w:val="21"/>
                <w:highlight w:val="none"/>
                <w:u w:val="single"/>
              </w:rPr>
              <w:t>0</w:t>
            </w:r>
            <w:r>
              <w:rPr>
                <w:rFonts w:hint="eastAsia" w:ascii="仿宋" w:hAnsi="仿宋" w:cs="仿宋"/>
                <w:color w:val="auto"/>
                <w:szCs w:val="21"/>
                <w:highlight w:val="none"/>
              </w:rPr>
              <w:t>×</w:t>
            </w:r>
            <w:r>
              <w:rPr>
                <w:rFonts w:hint="eastAsia" w:ascii="仿宋" w:hAnsi="仿宋" w:cs="仿宋"/>
                <w:color w:val="auto"/>
                <w:szCs w:val="21"/>
                <w:highlight w:val="none"/>
                <w:u w:val="single"/>
              </w:rPr>
              <w:t>2</w:t>
            </w:r>
            <w:r>
              <w:rPr>
                <w:rFonts w:hint="eastAsia" w:ascii="仿宋" w:hAnsi="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环保</w:t>
            </w:r>
          </w:p>
          <w:p>
            <w:pPr>
              <w:jc w:val="center"/>
              <w:rPr>
                <w:rFonts w:hint="eastAsia" w:ascii="仿宋" w:hAnsi="仿宋" w:cs="仿宋"/>
                <w:color w:val="auto"/>
                <w:szCs w:val="21"/>
                <w:highlight w:val="none"/>
              </w:rPr>
            </w:pPr>
            <w:r>
              <w:rPr>
                <w:rFonts w:hint="eastAsia" w:ascii="仿宋" w:hAnsi="仿宋" w:cs="仿宋"/>
                <w:color w:val="auto"/>
                <w:szCs w:val="21"/>
                <w:highlight w:val="none"/>
              </w:rPr>
              <w:t>产品</w:t>
            </w:r>
          </w:p>
        </w:tc>
        <w:tc>
          <w:tcPr>
            <w:tcW w:w="766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对于清单中的投标产品价格给予价格部分总分值</w:t>
            </w:r>
            <w:r>
              <w:rPr>
                <w:rFonts w:hint="eastAsia" w:ascii="仿宋" w:hAnsi="仿宋" w:cs="仿宋"/>
                <w:color w:val="auto"/>
                <w:szCs w:val="21"/>
                <w:highlight w:val="none"/>
                <w:u w:val="single"/>
              </w:rPr>
              <w:t>2</w:t>
            </w:r>
            <w:r>
              <w:rPr>
                <w:rFonts w:hint="eastAsia" w:ascii="仿宋" w:hAnsi="仿宋" w:cs="仿宋"/>
                <w:color w:val="auto"/>
                <w:szCs w:val="21"/>
                <w:highlight w:val="none"/>
              </w:rPr>
              <w:t>%的加分，计算公式如下：</w:t>
            </w:r>
          </w:p>
          <w:p>
            <w:pPr>
              <w:rPr>
                <w:rFonts w:hint="eastAsia" w:ascii="仿宋" w:hAnsi="仿宋" w:cs="仿宋"/>
                <w:color w:val="auto"/>
                <w:szCs w:val="21"/>
                <w:highlight w:val="none"/>
              </w:rPr>
            </w:pPr>
            <w:r>
              <w:rPr>
                <w:rFonts w:hint="eastAsia" w:ascii="仿宋" w:hAnsi="仿宋" w:cs="仿宋"/>
                <w:color w:val="auto"/>
                <w:szCs w:val="21"/>
                <w:highlight w:val="none"/>
              </w:rPr>
              <w:t>环保产品加分＝（环保产品投标报价之和/投标总价）×价格部分总分值</w:t>
            </w:r>
            <w:r>
              <w:rPr>
                <w:rFonts w:hint="eastAsia" w:ascii="仿宋" w:hAnsi="仿宋" w:cs="仿宋"/>
                <w:color w:val="auto"/>
                <w:szCs w:val="21"/>
                <w:highlight w:val="none"/>
                <w:u w:val="single"/>
                <w:lang w:val="en-US" w:eastAsia="zh-CN"/>
              </w:rPr>
              <w:t>3</w:t>
            </w:r>
            <w:r>
              <w:rPr>
                <w:rFonts w:hint="eastAsia" w:ascii="仿宋" w:hAnsi="仿宋" w:cs="仿宋"/>
                <w:color w:val="auto"/>
                <w:szCs w:val="21"/>
                <w:highlight w:val="none"/>
                <w:u w:val="single"/>
              </w:rPr>
              <w:t>0</w:t>
            </w:r>
            <w:r>
              <w:rPr>
                <w:rFonts w:hint="eastAsia" w:ascii="仿宋" w:hAnsi="仿宋" w:cs="仿宋"/>
                <w:color w:val="auto"/>
                <w:szCs w:val="21"/>
                <w:highlight w:val="none"/>
              </w:rPr>
              <w:t>×</w:t>
            </w:r>
            <w:r>
              <w:rPr>
                <w:rFonts w:hint="eastAsia" w:ascii="仿宋" w:hAnsi="仿宋" w:cs="仿宋"/>
                <w:color w:val="auto"/>
                <w:szCs w:val="21"/>
                <w:highlight w:val="none"/>
                <w:u w:val="single"/>
              </w:rPr>
              <w:t>2</w:t>
            </w:r>
            <w:r>
              <w:rPr>
                <w:rFonts w:hint="eastAsia" w:ascii="仿宋" w:hAnsi="仿宋" w:cs="仿宋"/>
                <w:color w:val="auto"/>
                <w:szCs w:val="21"/>
                <w:highlight w:val="none"/>
              </w:rPr>
              <w:t>%。</w:t>
            </w:r>
          </w:p>
        </w:tc>
      </w:tr>
    </w:tbl>
    <w:p>
      <w:pPr>
        <w:pStyle w:val="21"/>
        <w:widowControl w:val="0"/>
        <w:snapToGrid w:val="0"/>
        <w:spacing w:before="0" w:beforeAutospacing="0" w:after="0" w:afterAutospacing="0" w:line="480" w:lineRule="auto"/>
        <w:rPr>
          <w:rFonts w:hint="eastAsia" w:ascii="仿宋" w:hAnsi="仿宋" w:eastAsia="仿宋" w:cs="仿宋"/>
          <w:b/>
          <w:color w:val="auto"/>
          <w:sz w:val="21"/>
          <w:szCs w:val="21"/>
          <w:highlight w:val="none"/>
        </w:rPr>
      </w:pPr>
    </w:p>
    <w:p>
      <w:pPr>
        <w:wordWrap w:val="0"/>
        <w:snapToGrid w:val="0"/>
        <w:jc w:val="center"/>
        <w:rPr>
          <w:rFonts w:hint="eastAsia" w:ascii="仿宋" w:hAnsi="仿宋" w:cs="仿宋"/>
          <w:b/>
          <w:color w:val="auto"/>
          <w:kern w:val="44"/>
          <w:sz w:val="44"/>
          <w:highlight w:val="none"/>
        </w:rPr>
      </w:pPr>
      <w:bookmarkStart w:id="131" w:name="_Toc25922_WPSOffice_Level1"/>
      <w:bookmarkStart w:id="132" w:name="_Toc19588"/>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pStyle w:val="2"/>
        <w:rPr>
          <w:rFonts w:hint="eastAsia" w:ascii="仿宋" w:hAnsi="仿宋" w:cs="仿宋"/>
          <w:b/>
          <w:color w:val="auto"/>
          <w:kern w:val="44"/>
          <w:sz w:val="44"/>
          <w:highlight w:val="none"/>
        </w:rPr>
      </w:pPr>
    </w:p>
    <w:p>
      <w:pPr>
        <w:pStyle w:val="2"/>
        <w:rPr>
          <w:rFonts w:hint="eastAsia" w:ascii="仿宋" w:hAnsi="仿宋" w:cs="仿宋"/>
          <w:b/>
          <w:color w:val="auto"/>
          <w:kern w:val="44"/>
          <w:sz w:val="44"/>
          <w:highlight w:val="none"/>
        </w:rPr>
      </w:pPr>
    </w:p>
    <w:p>
      <w:pPr>
        <w:pStyle w:val="2"/>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r>
        <w:rPr>
          <w:rFonts w:hint="eastAsia" w:ascii="仿宋" w:hAnsi="仿宋" w:cs="仿宋"/>
          <w:b/>
          <w:color w:val="auto"/>
          <w:kern w:val="44"/>
          <w:sz w:val="44"/>
          <w:highlight w:val="none"/>
        </w:rPr>
        <w:t xml:space="preserve">第五章 </w:t>
      </w:r>
      <w:bookmarkEnd w:id="131"/>
      <w:bookmarkEnd w:id="132"/>
      <w:bookmarkStart w:id="133" w:name="_Toc23704_WPSOffice_Level1"/>
      <w:r>
        <w:rPr>
          <w:rFonts w:hint="eastAsia" w:ascii="仿宋" w:hAnsi="仿宋" w:cs="仿宋"/>
          <w:b/>
          <w:color w:val="auto"/>
          <w:kern w:val="44"/>
          <w:sz w:val="44"/>
          <w:highlight w:val="none"/>
        </w:rPr>
        <w:t>政府采购合同条款及格式</w:t>
      </w: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wordWrap w:val="0"/>
        <w:snapToGrid w:val="0"/>
        <w:jc w:val="center"/>
        <w:rPr>
          <w:rFonts w:hint="eastAsia" w:ascii="仿宋" w:hAnsi="仿宋" w:cs="仿宋"/>
          <w:b/>
          <w:color w:val="auto"/>
          <w:kern w:val="44"/>
          <w:sz w:val="44"/>
          <w:highlight w:val="none"/>
        </w:rPr>
      </w:pPr>
    </w:p>
    <w:p>
      <w:pPr>
        <w:pStyle w:val="23"/>
        <w:ind w:firstLine="240"/>
        <w:rPr>
          <w:rFonts w:hint="eastAsia" w:ascii="仿宋" w:hAnsi="仿宋" w:eastAsia="仿宋" w:cs="仿宋"/>
          <w:color w:val="auto"/>
          <w:highlight w:val="none"/>
        </w:rPr>
      </w:pPr>
    </w:p>
    <w:p>
      <w:pPr>
        <w:wordWrap w:val="0"/>
        <w:snapToGrid w:val="0"/>
        <w:jc w:val="center"/>
        <w:rPr>
          <w:rFonts w:hint="eastAsia" w:ascii="仿宋" w:hAnsi="仿宋" w:cs="仿宋"/>
          <w:b/>
          <w:color w:val="auto"/>
          <w:kern w:val="44"/>
          <w:sz w:val="44"/>
          <w:highlight w:val="none"/>
        </w:rPr>
      </w:pPr>
    </w:p>
    <w:p>
      <w:pPr>
        <w:pStyle w:val="23"/>
        <w:ind w:firstLine="442"/>
        <w:rPr>
          <w:rFonts w:hint="eastAsia" w:ascii="仿宋" w:hAnsi="仿宋" w:eastAsia="仿宋" w:cs="仿宋"/>
          <w:b/>
          <w:color w:val="auto"/>
          <w:kern w:val="44"/>
          <w:sz w:val="44"/>
          <w:highlight w:val="none"/>
        </w:rPr>
      </w:pPr>
    </w:p>
    <w:bookmarkEnd w:id="133"/>
    <w:p>
      <w:pPr>
        <w:wordWrap w:val="0"/>
        <w:snapToGrid w:val="0"/>
        <w:rPr>
          <w:rFonts w:hint="eastAsia" w:ascii="仿宋" w:hAnsi="仿宋" w:cs="仿宋"/>
          <w:b/>
          <w:color w:val="auto"/>
          <w:kern w:val="44"/>
          <w:sz w:val="44"/>
          <w:highlight w:val="none"/>
        </w:rPr>
      </w:pPr>
    </w:p>
    <w:p>
      <w:pPr>
        <w:pStyle w:val="23"/>
        <w:ind w:firstLine="240"/>
        <w:rPr>
          <w:rFonts w:hint="eastAsia" w:ascii="仿宋" w:hAnsi="仿宋" w:eastAsia="仿宋" w:cs="仿宋"/>
          <w:color w:val="auto"/>
          <w:highlight w:val="none"/>
        </w:rPr>
      </w:pPr>
    </w:p>
    <w:p>
      <w:pPr>
        <w:spacing w:line="360" w:lineRule="auto"/>
        <w:ind w:firstLine="884" w:firstLineChars="200"/>
        <w:jc w:val="center"/>
        <w:rPr>
          <w:rFonts w:hint="eastAsia" w:ascii="仿宋" w:hAnsi="仿宋" w:cs="仿宋"/>
          <w:b/>
          <w:bCs/>
          <w:color w:val="auto"/>
          <w:spacing w:val="-20"/>
          <w:kern w:val="44"/>
          <w:sz w:val="48"/>
          <w:szCs w:val="48"/>
          <w:highlight w:val="none"/>
        </w:rPr>
      </w:pPr>
    </w:p>
    <w:p>
      <w:pPr>
        <w:spacing w:line="360" w:lineRule="auto"/>
        <w:ind w:firstLine="884" w:firstLineChars="200"/>
        <w:jc w:val="center"/>
        <w:rPr>
          <w:rFonts w:hint="eastAsia" w:ascii="仿宋" w:hAnsi="仿宋" w:cs="仿宋"/>
          <w:b/>
          <w:bCs/>
          <w:color w:val="auto"/>
          <w:spacing w:val="-20"/>
          <w:kern w:val="44"/>
          <w:sz w:val="48"/>
          <w:szCs w:val="48"/>
          <w:highlight w:val="none"/>
        </w:rPr>
      </w:pPr>
    </w:p>
    <w:p>
      <w:pPr>
        <w:spacing w:line="360" w:lineRule="auto"/>
        <w:ind w:firstLine="884" w:firstLineChars="200"/>
        <w:jc w:val="center"/>
        <w:rPr>
          <w:rFonts w:hint="eastAsia" w:ascii="仿宋" w:hAnsi="仿宋" w:cs="仿宋"/>
          <w:b/>
          <w:bCs/>
          <w:color w:val="auto"/>
          <w:spacing w:val="-20"/>
          <w:kern w:val="44"/>
          <w:sz w:val="48"/>
          <w:szCs w:val="48"/>
          <w:highlight w:val="none"/>
        </w:rPr>
      </w:pPr>
    </w:p>
    <w:p>
      <w:pPr>
        <w:spacing w:line="360" w:lineRule="auto"/>
        <w:ind w:firstLine="884" w:firstLineChars="200"/>
        <w:jc w:val="center"/>
        <w:rPr>
          <w:rFonts w:hint="eastAsia" w:ascii="仿宋" w:hAnsi="仿宋" w:cs="仿宋"/>
          <w:b/>
          <w:bCs/>
          <w:color w:val="auto"/>
          <w:spacing w:val="-20"/>
          <w:kern w:val="44"/>
          <w:sz w:val="48"/>
          <w:szCs w:val="48"/>
          <w:highlight w:val="none"/>
        </w:rPr>
      </w:pPr>
      <w:r>
        <w:rPr>
          <w:rFonts w:hint="eastAsia" w:ascii="仿宋" w:hAnsi="仿宋" w:cs="仿宋"/>
          <w:b/>
          <w:bCs/>
          <w:color w:val="auto"/>
          <w:spacing w:val="-20"/>
          <w:kern w:val="44"/>
          <w:sz w:val="48"/>
          <w:szCs w:val="48"/>
          <w:highlight w:val="none"/>
        </w:rPr>
        <w:t>政府采购货物买卖合同</w:t>
      </w:r>
    </w:p>
    <w:p>
      <w:pPr>
        <w:rPr>
          <w:rFonts w:hint="eastAsia" w:ascii="仿宋" w:hAnsi="仿宋" w:cs="仿宋"/>
          <w:b/>
          <w:bCs/>
          <w:color w:val="auto"/>
          <w:spacing w:val="-20"/>
          <w:kern w:val="44"/>
          <w:sz w:val="40"/>
          <w:szCs w:val="40"/>
          <w:highlight w:val="none"/>
        </w:rPr>
      </w:pPr>
    </w:p>
    <w:p>
      <w:pPr>
        <w:rPr>
          <w:rFonts w:hint="eastAsia" w:ascii="仿宋" w:hAnsi="仿宋" w:cs="仿宋"/>
          <w:b/>
          <w:bCs/>
          <w:color w:val="auto"/>
          <w:spacing w:val="-20"/>
          <w:kern w:val="44"/>
          <w:sz w:val="40"/>
          <w:szCs w:val="40"/>
          <w:highlight w:val="none"/>
        </w:rPr>
      </w:pPr>
    </w:p>
    <w:p>
      <w:pPr>
        <w:rPr>
          <w:rFonts w:hint="eastAsia" w:ascii="仿宋" w:hAnsi="仿宋" w:cs="仿宋"/>
          <w:b/>
          <w:bCs/>
          <w:color w:val="auto"/>
          <w:spacing w:val="-20"/>
          <w:kern w:val="44"/>
          <w:sz w:val="40"/>
          <w:szCs w:val="40"/>
          <w:highlight w:val="none"/>
        </w:rPr>
      </w:pPr>
    </w:p>
    <w:p>
      <w:pPr>
        <w:spacing w:line="360" w:lineRule="auto"/>
        <w:ind w:left="420" w:leftChars="200"/>
        <w:rPr>
          <w:rFonts w:hint="eastAsia" w:ascii="仿宋" w:hAnsi="仿宋" w:cs="仿宋"/>
          <w:color w:val="auto"/>
          <w:sz w:val="32"/>
          <w:szCs w:val="32"/>
          <w:highlight w:val="none"/>
        </w:rPr>
      </w:pPr>
      <w:r>
        <w:rPr>
          <w:rFonts w:hint="eastAsia" w:ascii="仿宋" w:hAnsi="仿宋" w:cs="仿宋"/>
          <w:color w:val="auto"/>
          <w:kern w:val="0"/>
          <w:sz w:val="32"/>
          <w:szCs w:val="32"/>
          <w:highlight w:val="none"/>
        </w:rPr>
        <w:t>项目名称：</w:t>
      </w:r>
      <w:r>
        <w:rPr>
          <w:rFonts w:hint="eastAsia" w:ascii="仿宋" w:hAnsi="仿宋" w:cs="仿宋"/>
          <w:color w:val="auto"/>
          <w:sz w:val="32"/>
          <w:szCs w:val="32"/>
          <w:highlight w:val="none"/>
          <w:u w:val="single"/>
        </w:rPr>
        <w:t xml:space="preserve">                             </w:t>
      </w:r>
    </w:p>
    <w:p>
      <w:pPr>
        <w:spacing w:line="360" w:lineRule="auto"/>
        <w:ind w:left="420" w:leftChars="200"/>
        <w:rPr>
          <w:rFonts w:hint="eastAsia" w:ascii="仿宋" w:hAnsi="仿宋" w:cs="仿宋"/>
          <w:color w:val="auto"/>
          <w:sz w:val="32"/>
          <w:szCs w:val="32"/>
          <w:highlight w:val="none"/>
          <w:u w:val="single"/>
        </w:rPr>
      </w:pPr>
      <w:r>
        <w:rPr>
          <w:rFonts w:hint="eastAsia" w:ascii="仿宋" w:hAnsi="仿宋" w:cs="仿宋"/>
          <w:color w:val="auto"/>
          <w:sz w:val="32"/>
          <w:szCs w:val="32"/>
          <w:highlight w:val="none"/>
        </w:rPr>
        <w:t>合同编号：</w:t>
      </w:r>
      <w:r>
        <w:rPr>
          <w:rFonts w:hint="eastAsia" w:ascii="仿宋" w:hAnsi="仿宋" w:cs="仿宋"/>
          <w:color w:val="auto"/>
          <w:sz w:val="32"/>
          <w:szCs w:val="32"/>
          <w:highlight w:val="none"/>
          <w:u w:val="single"/>
        </w:rPr>
        <w:t xml:space="preserve">                             </w:t>
      </w:r>
    </w:p>
    <w:p>
      <w:pPr>
        <w:spacing w:line="360" w:lineRule="auto"/>
        <w:ind w:left="420" w:leftChars="200"/>
        <w:rPr>
          <w:rFonts w:hint="eastAsia" w:ascii="仿宋" w:hAnsi="仿宋" w:cs="仿宋"/>
          <w:color w:val="auto"/>
          <w:sz w:val="32"/>
          <w:szCs w:val="32"/>
          <w:highlight w:val="none"/>
        </w:rPr>
      </w:pPr>
      <w:r>
        <w:rPr>
          <w:rFonts w:hint="eastAsia" w:ascii="仿宋" w:hAnsi="仿宋" w:cs="仿宋"/>
          <w:color w:val="auto"/>
          <w:sz w:val="32"/>
          <w:szCs w:val="32"/>
          <w:highlight w:val="none"/>
        </w:rPr>
        <w:t>甲    方：</w:t>
      </w:r>
      <w:r>
        <w:rPr>
          <w:rFonts w:hint="eastAsia" w:ascii="仿宋" w:hAnsi="仿宋" w:cs="仿宋"/>
          <w:color w:val="auto"/>
          <w:sz w:val="32"/>
          <w:szCs w:val="32"/>
          <w:highlight w:val="none"/>
          <w:u w:val="single"/>
        </w:rPr>
        <w:t xml:space="preserve">                             </w:t>
      </w:r>
    </w:p>
    <w:p>
      <w:pPr>
        <w:spacing w:line="360" w:lineRule="auto"/>
        <w:ind w:left="420" w:leftChars="200"/>
        <w:rPr>
          <w:rFonts w:hint="eastAsia" w:ascii="仿宋" w:hAnsi="仿宋" w:cs="仿宋"/>
          <w:color w:val="auto"/>
          <w:sz w:val="32"/>
          <w:szCs w:val="32"/>
          <w:highlight w:val="none"/>
          <w:u w:val="single"/>
        </w:rPr>
      </w:pPr>
      <w:r>
        <w:rPr>
          <w:rFonts w:hint="eastAsia" w:ascii="仿宋" w:hAnsi="仿宋" w:cs="仿宋"/>
          <w:color w:val="auto"/>
          <w:sz w:val="32"/>
          <w:szCs w:val="32"/>
          <w:highlight w:val="none"/>
        </w:rPr>
        <w:t>乙    方：</w:t>
      </w:r>
      <w:r>
        <w:rPr>
          <w:rFonts w:hint="eastAsia" w:ascii="仿宋" w:hAnsi="仿宋" w:cs="仿宋"/>
          <w:color w:val="auto"/>
          <w:sz w:val="32"/>
          <w:szCs w:val="32"/>
          <w:highlight w:val="none"/>
          <w:u w:val="single"/>
        </w:rPr>
        <w:t xml:space="preserve">                             </w:t>
      </w:r>
    </w:p>
    <w:p>
      <w:pPr>
        <w:spacing w:line="360" w:lineRule="auto"/>
        <w:ind w:left="420" w:leftChars="200"/>
        <w:rPr>
          <w:rFonts w:hint="eastAsia" w:ascii="仿宋" w:hAnsi="仿宋" w:cs="仿宋"/>
          <w:color w:val="auto"/>
          <w:sz w:val="32"/>
          <w:szCs w:val="32"/>
          <w:highlight w:val="none"/>
        </w:rPr>
      </w:pPr>
      <w:r>
        <w:rPr>
          <w:rFonts w:hint="eastAsia" w:ascii="仿宋" w:hAnsi="仿宋" w:cs="仿宋"/>
          <w:color w:val="auto"/>
          <w:sz w:val="32"/>
          <w:szCs w:val="32"/>
          <w:highlight w:val="none"/>
        </w:rPr>
        <w:t>签订时间：</w:t>
      </w:r>
      <w:r>
        <w:rPr>
          <w:rFonts w:hint="eastAsia" w:ascii="仿宋" w:hAnsi="仿宋" w:cs="仿宋"/>
          <w:color w:val="auto"/>
          <w:sz w:val="32"/>
          <w:szCs w:val="32"/>
          <w:highlight w:val="none"/>
          <w:u w:val="single"/>
        </w:rPr>
        <w:t xml:space="preserve">                             </w:t>
      </w:r>
    </w:p>
    <w:p>
      <w:pPr>
        <w:rPr>
          <w:rFonts w:hint="eastAsia" w:ascii="仿宋" w:hAnsi="仿宋" w:cs="仿宋"/>
          <w:color w:val="auto"/>
          <w:highlight w:val="none"/>
        </w:rPr>
      </w:pPr>
    </w:p>
    <w:p>
      <w:pPr>
        <w:rPr>
          <w:rFonts w:hint="eastAsia" w:ascii="仿宋" w:hAnsi="仿宋" w:cs="仿宋"/>
          <w:color w:val="auto"/>
          <w:sz w:val="44"/>
          <w:szCs w:val="44"/>
          <w:highlight w:val="none"/>
        </w:rPr>
      </w:pPr>
      <w:r>
        <w:rPr>
          <w:rFonts w:hint="eastAsia" w:ascii="仿宋" w:hAnsi="仿宋" w:cs="仿宋"/>
          <w:color w:val="auto"/>
          <w:sz w:val="44"/>
          <w:szCs w:val="44"/>
          <w:highlight w:val="none"/>
        </w:rPr>
        <w:br w:type="page"/>
      </w:r>
    </w:p>
    <w:p>
      <w:pPr>
        <w:rPr>
          <w:rFonts w:hint="eastAsia" w:ascii="仿宋" w:hAnsi="仿宋" w:cs="仿宋"/>
          <w:color w:val="auto"/>
          <w:sz w:val="44"/>
          <w:szCs w:val="44"/>
          <w:highlight w:val="none"/>
        </w:rPr>
      </w:pPr>
    </w:p>
    <w:p>
      <w:pPr>
        <w:jc w:val="center"/>
        <w:rPr>
          <w:rFonts w:hint="eastAsia" w:ascii="仿宋" w:hAnsi="仿宋" w:cs="仿宋"/>
          <w:color w:val="auto"/>
          <w:sz w:val="44"/>
          <w:szCs w:val="44"/>
          <w:highlight w:val="none"/>
        </w:rPr>
      </w:pPr>
      <w:r>
        <w:rPr>
          <w:rFonts w:hint="eastAsia" w:ascii="仿宋" w:hAnsi="仿宋" w:cs="仿宋"/>
          <w:color w:val="auto"/>
          <w:sz w:val="44"/>
          <w:szCs w:val="44"/>
          <w:highlight w:val="none"/>
        </w:rPr>
        <w:t>使 用 说 明</w:t>
      </w:r>
    </w:p>
    <w:p>
      <w:pPr>
        <w:ind w:firstLine="640" w:firstLineChars="200"/>
        <w:rPr>
          <w:rFonts w:hint="eastAsia" w:ascii="仿宋" w:hAnsi="仿宋" w:cs="仿宋"/>
          <w:color w:val="auto"/>
          <w:sz w:val="32"/>
          <w:szCs w:val="32"/>
          <w:highlight w:val="none"/>
        </w:rPr>
      </w:pPr>
    </w:p>
    <w:p>
      <w:pPr>
        <w:ind w:firstLine="640" w:firstLineChars="200"/>
        <w:rPr>
          <w:rFonts w:hint="eastAsia" w:ascii="仿宋" w:hAnsi="仿宋" w:cs="仿宋"/>
          <w:color w:val="auto"/>
          <w:sz w:val="32"/>
          <w:szCs w:val="32"/>
          <w:highlight w:val="none"/>
        </w:rPr>
      </w:pPr>
      <w:r>
        <w:rPr>
          <w:rFonts w:hint="eastAsia" w:ascii="仿宋" w:hAnsi="仿宋" w:cs="仿宋"/>
          <w:color w:val="auto"/>
          <w:sz w:val="32"/>
          <w:szCs w:val="32"/>
          <w:highlight w:val="none"/>
        </w:rPr>
        <w:t>1.本合同标准文本适用于购买现成货物的采购项目，不包括需要供应商定制开发、创新研发的货物采购项目。</w:t>
      </w:r>
    </w:p>
    <w:p>
      <w:pPr>
        <w:rPr>
          <w:rFonts w:hint="eastAsia" w:ascii="仿宋" w:hAnsi="仿宋" w:cs="仿宋"/>
          <w:color w:val="auto"/>
          <w:sz w:val="44"/>
          <w:szCs w:val="44"/>
          <w:highlight w:val="none"/>
        </w:rPr>
      </w:pPr>
      <w:r>
        <w:rPr>
          <w:rFonts w:hint="eastAsia" w:ascii="仿宋" w:hAnsi="仿宋" w:cs="仿宋"/>
          <w:color w:val="auto"/>
          <w:sz w:val="44"/>
          <w:szCs w:val="44"/>
          <w:highlight w:val="none"/>
        </w:rPr>
        <w:t xml:space="preserve">   </w:t>
      </w:r>
      <w:r>
        <w:rPr>
          <w:rFonts w:hint="eastAsia" w:ascii="仿宋" w:hAnsi="仿宋" w:cs="仿宋"/>
          <w:color w:val="auto"/>
          <w:sz w:val="32"/>
          <w:szCs w:val="32"/>
          <w:highlight w:val="none"/>
        </w:rPr>
        <w:t>2.本合同标准文本为政府采购货物买卖合同编制提供参考，可以结合采购项目具体情况，对文本作必要的调整修订后使用。</w:t>
      </w:r>
    </w:p>
    <w:p>
      <w:pPr>
        <w:ind w:firstLine="640" w:firstLineChars="200"/>
        <w:rPr>
          <w:rFonts w:hint="eastAsia" w:ascii="仿宋" w:hAnsi="仿宋" w:cs="仿宋"/>
          <w:color w:val="auto"/>
          <w:sz w:val="32"/>
          <w:szCs w:val="32"/>
          <w:highlight w:val="none"/>
        </w:rPr>
        <w:sectPr>
          <w:pgSz w:w="11906" w:h="16838"/>
          <w:pgMar w:top="1440" w:right="1800" w:bottom="1440" w:left="1800" w:header="851" w:footer="992" w:gutter="0"/>
          <w:cols w:space="720" w:num="1"/>
          <w:docGrid w:type="lines" w:linePitch="312" w:charSpace="0"/>
        </w:sectPr>
      </w:pPr>
      <w:r>
        <w:rPr>
          <w:rFonts w:hint="eastAsia" w:ascii="仿宋" w:hAnsi="仿宋" w:cs="仿宋"/>
          <w:color w:val="auto"/>
          <w:sz w:val="32"/>
          <w:szCs w:val="32"/>
          <w:highlight w:val="none"/>
        </w:rPr>
        <w:t>3.本合同标准文本各条款中，如涉及填写多家供应商、制造商，多种采购标的、分包主要内容等信息的，可根据采购项目具体情况添加信息项。</w:t>
      </w:r>
    </w:p>
    <w:p>
      <w:pPr>
        <w:keepNext/>
        <w:keepLines/>
        <w:adjustRightInd w:val="0"/>
        <w:snapToGrid w:val="0"/>
        <w:spacing w:before="140" w:after="140" w:line="400" w:lineRule="exact"/>
        <w:jc w:val="center"/>
        <w:outlineLvl w:val="1"/>
        <w:rPr>
          <w:rFonts w:hint="eastAsia" w:ascii="仿宋" w:hAnsi="仿宋" w:cs="仿宋"/>
          <w:color w:val="auto"/>
          <w:sz w:val="28"/>
          <w:szCs w:val="28"/>
          <w:highlight w:val="none"/>
        </w:rPr>
      </w:pPr>
      <w:bookmarkStart w:id="134" w:name="_Toc22209"/>
      <w:r>
        <w:rPr>
          <w:rFonts w:hint="eastAsia" w:ascii="仿宋" w:hAnsi="仿宋" w:cs="仿宋"/>
          <w:color w:val="auto"/>
          <w:sz w:val="28"/>
          <w:szCs w:val="28"/>
          <w:highlight w:val="none"/>
        </w:rPr>
        <w:t>第一节 政府采购合同协议书</w:t>
      </w:r>
      <w:bookmarkEnd w:id="134"/>
    </w:p>
    <w:p>
      <w:pPr>
        <w:keepNext/>
        <w:keepLines/>
        <w:adjustRightInd w:val="0"/>
        <w:snapToGrid w:val="0"/>
        <w:spacing w:before="140" w:after="140" w:line="400" w:lineRule="exact"/>
        <w:jc w:val="center"/>
        <w:outlineLvl w:val="1"/>
        <w:rPr>
          <w:rFonts w:hint="eastAsia" w:ascii="仿宋" w:hAnsi="仿宋" w:cs="仿宋"/>
          <w:color w:val="auto"/>
          <w:sz w:val="28"/>
          <w:szCs w:val="28"/>
          <w:highlight w:val="none"/>
        </w:rPr>
      </w:pP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甲方（全称）：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（采购人、受采购人委托签订合同的单位或采购</w:t>
      </w:r>
      <w:r>
        <w:rPr>
          <w:rFonts w:hint="eastAsia" w:ascii="仿宋" w:hAnsi="仿宋" w:cs="仿宋"/>
          <w:color w:val="auto"/>
          <w:szCs w:val="21"/>
          <w:highlight w:val="none"/>
        </w:rPr>
        <w:tab/>
      </w:r>
      <w:r>
        <w:rPr>
          <w:rFonts w:hint="eastAsia" w:ascii="仿宋" w:hAnsi="仿宋" w:cs="仿宋"/>
          <w:color w:val="auto"/>
          <w:szCs w:val="21"/>
          <w:highlight w:val="none"/>
        </w:rPr>
        <w:t xml:space="preserve">                                   文件约定的合同甲方）</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乙方1（全称）：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（供应商）</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乙方2（全称）：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（联合体成员供应商或其他合同主体）（如有）</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highlight w:val="none"/>
        </w:rPr>
        <w:t>乙方</w:t>
      </w:r>
      <w:r>
        <w:rPr>
          <w:rFonts w:hint="eastAsia" w:ascii="仿宋" w:hAnsi="仿宋" w:cs="仿宋"/>
          <w:color w:val="auto"/>
          <w:szCs w:val="21"/>
          <w:highlight w:val="none"/>
        </w:rPr>
        <w:t>3</w:t>
      </w:r>
      <w:r>
        <w:rPr>
          <w:rFonts w:hint="eastAsia" w:ascii="仿宋" w:hAnsi="仿宋" w:cs="仿宋"/>
          <w:color w:val="auto"/>
          <w:highlight w:val="none"/>
        </w:rPr>
        <w:t>（全称）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（联合体成员供应商或其他合同主体）（如有）</w:t>
      </w:r>
    </w:p>
    <w:p>
      <w:pPr>
        <w:spacing w:line="400" w:lineRule="exact"/>
        <w:rPr>
          <w:rFonts w:hint="eastAsia" w:ascii="仿宋" w:hAnsi="仿宋" w:cs="仿宋"/>
          <w:color w:val="auto"/>
          <w:highlight w:val="none"/>
        </w:rPr>
      </w:pPr>
    </w:p>
    <w:p>
      <w:pPr>
        <w:adjustRightInd w:val="0"/>
        <w:snapToGrid w:val="0"/>
        <w:spacing w:line="400" w:lineRule="exact"/>
        <w:ind w:firstLine="484" w:firstLineChars="200"/>
        <w:rPr>
          <w:rFonts w:hint="eastAsia" w:ascii="仿宋" w:hAnsi="仿宋" w:cs="仿宋"/>
          <w:color w:val="auto"/>
          <w:sz w:val="24"/>
          <w:szCs w:val="21"/>
          <w:highlight w:val="none"/>
        </w:rPr>
      </w:pPr>
      <w:r>
        <w:rPr>
          <w:rFonts w:hint="eastAsia" w:ascii="仿宋" w:hAnsi="仿宋" w:cs="仿宋"/>
          <w:color w:val="auto"/>
          <w:sz w:val="24"/>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项目信息</w:t>
      </w:r>
    </w:p>
    <w:p>
      <w:pPr>
        <w:numPr>
          <w:ilvl w:val="0"/>
          <w:numId w:val="9"/>
        </w:numPr>
        <w:adjustRightInd w:val="0"/>
        <w:snapToGrid w:val="0"/>
        <w:spacing w:line="400" w:lineRule="exact"/>
        <w:ind w:firstLine="484" w:firstLineChars="200"/>
        <w:rPr>
          <w:rFonts w:hint="eastAsia" w:ascii="仿宋" w:hAnsi="仿宋" w:cs="仿宋"/>
          <w:color w:val="auto"/>
          <w:sz w:val="24"/>
          <w:szCs w:val="21"/>
          <w:highlight w:val="none"/>
          <w:u w:val="single"/>
        </w:rPr>
      </w:pPr>
      <w:r>
        <w:rPr>
          <w:rFonts w:hint="eastAsia" w:ascii="仿宋" w:hAnsi="仿宋" w:cs="仿宋"/>
          <w:color w:val="auto"/>
          <w:sz w:val="24"/>
          <w:szCs w:val="21"/>
          <w:highlight w:val="none"/>
        </w:rPr>
        <w:t>采购项目名称：</w:t>
      </w:r>
      <w:r>
        <w:rPr>
          <w:rFonts w:hint="eastAsia" w:ascii="仿宋" w:hAnsi="仿宋" w:cs="仿宋"/>
          <w:color w:val="auto"/>
          <w:sz w:val="24"/>
          <w:szCs w:val="21"/>
          <w:highlight w:val="none"/>
          <w:u w:val="single"/>
        </w:rPr>
        <w:t xml:space="preserve">                                          </w:t>
      </w:r>
    </w:p>
    <w:p>
      <w:pPr>
        <w:tabs>
          <w:tab w:val="left" w:pos="999"/>
        </w:tabs>
        <w:adjustRightInd w:val="0"/>
        <w:snapToGrid w:val="0"/>
        <w:spacing w:line="400" w:lineRule="exact"/>
        <w:rPr>
          <w:rFonts w:hint="eastAsia" w:ascii="仿宋" w:hAnsi="仿宋" w:cs="仿宋"/>
          <w:color w:val="auto"/>
          <w:sz w:val="24"/>
          <w:szCs w:val="21"/>
          <w:highlight w:val="none"/>
        </w:rPr>
      </w:pPr>
      <w:r>
        <w:rPr>
          <w:rFonts w:hint="eastAsia" w:ascii="仿宋" w:hAnsi="仿宋" w:cs="仿宋"/>
          <w:color w:val="auto"/>
          <w:sz w:val="24"/>
          <w:szCs w:val="21"/>
          <w:highlight w:val="none"/>
        </w:rPr>
        <w:t xml:space="preserve">         采购项目编号：</w:t>
      </w:r>
      <w:r>
        <w:rPr>
          <w:rFonts w:hint="eastAsia" w:ascii="仿宋" w:hAnsi="仿宋" w:cs="仿宋"/>
          <w:color w:val="auto"/>
          <w:sz w:val="24"/>
          <w:szCs w:val="21"/>
          <w:highlight w:val="none"/>
          <w:u w:val="single"/>
        </w:rPr>
        <w:t xml:space="preserve">                                          </w:t>
      </w:r>
    </w:p>
    <w:p>
      <w:pPr>
        <w:adjustRightInd w:val="0"/>
        <w:snapToGrid w:val="0"/>
        <w:spacing w:line="400" w:lineRule="exact"/>
        <w:ind w:firstLine="484" w:firstLineChars="200"/>
        <w:rPr>
          <w:rFonts w:hint="eastAsia" w:ascii="仿宋" w:hAnsi="仿宋" w:cs="仿宋"/>
          <w:color w:val="auto"/>
          <w:sz w:val="24"/>
          <w:szCs w:val="21"/>
          <w:highlight w:val="none"/>
        </w:rPr>
      </w:pPr>
      <w:r>
        <w:rPr>
          <w:rFonts w:hint="eastAsia" w:ascii="仿宋" w:hAnsi="仿宋" w:cs="仿宋"/>
          <w:color w:val="auto"/>
          <w:sz w:val="24"/>
          <w:szCs w:val="21"/>
          <w:highlight w:val="none"/>
        </w:rPr>
        <w:t>（2）采购计划编号：</w:t>
      </w:r>
      <w:r>
        <w:rPr>
          <w:rFonts w:hint="eastAsia" w:ascii="仿宋" w:hAnsi="仿宋" w:cs="仿宋"/>
          <w:color w:val="auto"/>
          <w:sz w:val="24"/>
          <w:szCs w:val="21"/>
          <w:highlight w:val="none"/>
          <w:u w:val="single"/>
        </w:rPr>
        <w:t xml:space="preserve">                                          </w:t>
      </w:r>
      <w:r>
        <w:rPr>
          <w:rFonts w:hint="eastAsia" w:ascii="仿宋" w:hAnsi="仿宋" w:cs="仿宋"/>
          <w:color w:val="auto"/>
          <w:sz w:val="24"/>
          <w:szCs w:val="21"/>
          <w:highlight w:val="none"/>
        </w:rPr>
        <w:t xml:space="preserve"> </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（3）项目内容：</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 xml:space="preserve">     采购标的及数量（台/套</w:t>
      </w:r>
      <w:r>
        <w:rPr>
          <w:rFonts w:hint="eastAsia" w:ascii="仿宋" w:hAnsi="仿宋" w:cs="仿宋"/>
          <w:color w:val="auto"/>
          <w:szCs w:val="21"/>
          <w:highlight w:val="none"/>
          <w:lang w:val="en"/>
        </w:rPr>
        <w:t>/个/架/组等</w:t>
      </w:r>
      <w:r>
        <w:rPr>
          <w:rFonts w:hint="eastAsia" w:ascii="仿宋" w:hAnsi="仿宋" w:cs="仿宋"/>
          <w:color w:val="auto"/>
          <w:szCs w:val="21"/>
          <w:highlight w:val="none"/>
        </w:rPr>
        <w:t>）：</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p>
    <w:p>
      <w:pPr>
        <w:adjustRightInd w:val="0"/>
        <w:snapToGrid w:val="0"/>
        <w:spacing w:line="400" w:lineRule="exact"/>
        <w:ind w:firstLine="424" w:firstLineChars="200"/>
        <w:rPr>
          <w:rFonts w:hint="eastAsia" w:ascii="仿宋" w:hAnsi="仿宋" w:cs="仿宋"/>
          <w:color w:val="auto"/>
          <w:szCs w:val="21"/>
          <w:highlight w:val="none"/>
          <w:lang w:val="en"/>
        </w:rPr>
      </w:pPr>
      <w:r>
        <w:rPr>
          <w:rFonts w:hint="eastAsia" w:ascii="仿宋" w:hAnsi="仿宋" w:cs="仿宋"/>
          <w:color w:val="auto"/>
          <w:szCs w:val="21"/>
          <w:highlight w:val="none"/>
        </w:rPr>
        <w:t xml:space="preserve">     品牌：</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lang w:val="en"/>
        </w:rPr>
        <w:t xml:space="preserve">     </w:t>
      </w:r>
      <w:r>
        <w:rPr>
          <w:rFonts w:hint="eastAsia" w:ascii="仿宋" w:hAnsi="仿宋" w:cs="仿宋"/>
          <w:color w:val="auto"/>
          <w:szCs w:val="21"/>
          <w:highlight w:val="none"/>
        </w:rPr>
        <w:t>规格型号：</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
        </w:rPr>
        <w:t xml:space="preserve">   </w:t>
      </w:r>
    </w:p>
    <w:p>
      <w:pPr>
        <w:adjustRightInd w:val="0"/>
        <w:snapToGrid w:val="0"/>
        <w:spacing w:line="400" w:lineRule="exact"/>
        <w:ind w:firstLine="954" w:firstLineChars="450"/>
        <w:rPr>
          <w:rFonts w:hint="eastAsia" w:ascii="仿宋" w:hAnsi="仿宋" w:cs="仿宋"/>
          <w:color w:val="auto"/>
          <w:szCs w:val="21"/>
          <w:highlight w:val="none"/>
          <w:u w:val="single"/>
        </w:rPr>
      </w:pPr>
      <w:r>
        <w:rPr>
          <w:rFonts w:hint="eastAsia" w:ascii="仿宋" w:hAnsi="仿宋" w:cs="仿宋"/>
          <w:color w:val="auto"/>
          <w:szCs w:val="21"/>
          <w:highlight w:val="none"/>
        </w:rPr>
        <w:t>采购标的的技术要求、商务要求具体见附件。</w:t>
      </w:r>
    </w:p>
    <w:p>
      <w:pPr>
        <w:adjustRightInd w:val="0"/>
        <w:snapToGrid w:val="0"/>
        <w:spacing w:line="400" w:lineRule="exact"/>
        <w:ind w:firstLine="954" w:firstLineChars="450"/>
        <w:rPr>
          <w:rFonts w:hint="eastAsia" w:ascii="仿宋" w:hAnsi="仿宋" w:cs="仿宋"/>
          <w:color w:val="auto"/>
          <w:szCs w:val="21"/>
          <w:highlight w:val="none"/>
        </w:rPr>
      </w:pPr>
      <w:r>
        <w:rPr>
          <w:rFonts w:hint="eastAsia" w:ascii="仿宋" w:hAnsi="仿宋" w:cs="仿宋"/>
          <w:color w:val="auto"/>
          <w:szCs w:val="21"/>
          <w:highlight w:val="none"/>
        </w:rPr>
        <w:t>①涉及信息类产品，请填写该产品关键部件的品牌、型号：</w:t>
      </w:r>
    </w:p>
    <w:p>
      <w:pPr>
        <w:adjustRightInd w:val="0"/>
        <w:snapToGrid w:val="0"/>
        <w:spacing w:line="400" w:lineRule="exact"/>
        <w:ind w:firstLine="424" w:firstLineChars="200"/>
        <w:rPr>
          <w:rFonts w:hint="eastAsia" w:ascii="仿宋" w:hAnsi="仿宋" w:cs="仿宋"/>
          <w:color w:val="auto"/>
          <w:kern w:val="0"/>
          <w:szCs w:val="21"/>
          <w:highlight w:val="none"/>
          <w:u w:val="single"/>
        </w:rPr>
      </w:pPr>
      <w:r>
        <w:rPr>
          <w:rFonts w:hint="eastAsia" w:ascii="仿宋" w:hAnsi="仿宋" w:cs="仿宋"/>
          <w:color w:val="auto"/>
          <w:szCs w:val="21"/>
          <w:highlight w:val="none"/>
        </w:rPr>
        <w:t xml:space="preserve">     标的名称：</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u w:val="single"/>
          <w:lang w:val="en"/>
        </w:rPr>
        <w:t xml:space="preserve">               </w:t>
      </w:r>
      <w:r>
        <w:rPr>
          <w:rFonts w:hint="eastAsia" w:ascii="仿宋" w:hAnsi="仿宋" w:cs="仿宋"/>
          <w:color w:val="auto"/>
          <w:kern w:val="0"/>
          <w:szCs w:val="21"/>
          <w:highlight w:val="none"/>
          <w:u w:val="single"/>
        </w:rPr>
        <w:t xml:space="preserve">    </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 xml:space="preserve">     关键部件：</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w:t>
      </w:r>
      <w:r>
        <w:rPr>
          <w:rFonts w:hint="eastAsia" w:ascii="仿宋" w:hAnsi="仿宋" w:cs="仿宋"/>
          <w:color w:val="auto"/>
          <w:szCs w:val="21"/>
          <w:highlight w:val="none"/>
        </w:rPr>
        <w:t>品牌：</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型号：</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w:t>
      </w:r>
      <w:r>
        <w:rPr>
          <w:rFonts w:hint="eastAsia" w:ascii="仿宋" w:hAnsi="仿宋" w:cs="仿宋"/>
          <w:color w:val="auto"/>
          <w:szCs w:val="21"/>
          <w:highlight w:val="none"/>
        </w:rPr>
        <w:t>关键部件</w:t>
      </w:r>
      <w:r>
        <w:rPr>
          <w:rFonts w:hint="eastAsia" w:ascii="仿宋" w:hAnsi="仿宋" w:cs="仿宋"/>
          <w:color w:val="auto"/>
          <w:kern w:val="0"/>
          <w:szCs w:val="21"/>
          <w:highlight w:val="none"/>
        </w:rPr>
        <w:t>：</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品牌：</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型号：</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关键部件：</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品牌：</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型号：</w:t>
      </w:r>
      <w:r>
        <w:rPr>
          <w:rFonts w:hint="eastAsia" w:ascii="仿宋" w:hAnsi="仿宋" w:cs="仿宋"/>
          <w:color w:val="auto"/>
          <w:kern w:val="0"/>
          <w:szCs w:val="21"/>
          <w:highlight w:val="none"/>
          <w:u w:val="single"/>
        </w:rPr>
        <w:t xml:space="preserve">       </w:t>
      </w:r>
    </w:p>
    <w:p>
      <w:pPr>
        <w:widowControl/>
        <w:autoSpaceDE w:val="0"/>
        <w:autoSpaceDN w:val="0"/>
        <w:adjustRightInd w:val="0"/>
        <w:snapToGrid w:val="0"/>
        <w:spacing w:line="400" w:lineRule="exact"/>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00" w:lineRule="exact"/>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②涉及车辆采购，请填写是否属于新能源汽车：</w:t>
      </w:r>
    </w:p>
    <w:p>
      <w:pPr>
        <w:widowControl/>
        <w:autoSpaceDE w:val="0"/>
        <w:autoSpaceDN w:val="0"/>
        <w:adjustRightInd w:val="0"/>
        <w:snapToGrid w:val="0"/>
        <w:spacing w:line="400" w:lineRule="exact"/>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是，《政府采购品目分类目录》底级品目名称：</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数量：</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金额：</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 </w:t>
      </w:r>
    </w:p>
    <w:p>
      <w:pPr>
        <w:widowControl/>
        <w:autoSpaceDE w:val="0"/>
        <w:autoSpaceDN w:val="0"/>
        <w:adjustRightInd w:val="0"/>
        <w:snapToGrid w:val="0"/>
        <w:spacing w:line="400" w:lineRule="exact"/>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否</w:t>
      </w:r>
    </w:p>
    <w:p>
      <w:pPr>
        <w:widowControl/>
        <w:autoSpaceDE w:val="0"/>
        <w:autoSpaceDN w:val="0"/>
        <w:adjustRightInd w:val="0"/>
        <w:snapToGrid w:val="0"/>
        <w:spacing w:line="400" w:lineRule="exact"/>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w:t>
      </w:r>
      <w:r>
        <w:rPr>
          <w:rFonts w:hint="eastAsia" w:ascii="仿宋" w:hAnsi="仿宋" w:cs="仿宋"/>
          <w:color w:val="auto"/>
          <w:kern w:val="0"/>
          <w:szCs w:val="21"/>
          <w:highlight w:val="none"/>
          <w:lang w:val="en"/>
        </w:rPr>
        <w:t>4</w:t>
      </w:r>
      <w:r>
        <w:rPr>
          <w:rFonts w:hint="eastAsia" w:ascii="仿宋" w:hAnsi="仿宋" w:cs="仿宋"/>
          <w:color w:val="auto"/>
          <w:kern w:val="0"/>
          <w:szCs w:val="21"/>
          <w:highlight w:val="none"/>
        </w:rPr>
        <w:t>）政府采购组织形式：</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政府集中采购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部门集中采购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分散采购</w:t>
      </w:r>
    </w:p>
    <w:p>
      <w:pPr>
        <w:widowControl/>
        <w:autoSpaceDE w:val="0"/>
        <w:autoSpaceDN w:val="0"/>
        <w:adjustRightInd w:val="0"/>
        <w:snapToGrid w:val="0"/>
        <w:spacing w:line="400" w:lineRule="exact"/>
        <w:ind w:firstLine="42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w:t>
      </w:r>
      <w:r>
        <w:rPr>
          <w:rFonts w:hint="eastAsia" w:ascii="仿宋" w:hAnsi="仿宋" w:cs="仿宋"/>
          <w:color w:val="auto"/>
          <w:kern w:val="0"/>
          <w:szCs w:val="21"/>
          <w:highlight w:val="none"/>
          <w:lang w:val="en"/>
        </w:rPr>
        <w:t>5</w:t>
      </w:r>
      <w:r>
        <w:rPr>
          <w:rFonts w:hint="eastAsia" w:ascii="仿宋" w:hAnsi="仿宋" w:cs="仿宋"/>
          <w:color w:val="auto"/>
          <w:kern w:val="0"/>
          <w:szCs w:val="21"/>
          <w:highlight w:val="none"/>
        </w:rPr>
        <w:t>）政府采购方式：</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公开招标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邀请招标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竞争性谈判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竞争性磋商</w:t>
      </w:r>
    </w:p>
    <w:p>
      <w:pPr>
        <w:widowControl/>
        <w:autoSpaceDE w:val="0"/>
        <w:autoSpaceDN w:val="0"/>
        <w:adjustRightInd w:val="0"/>
        <w:snapToGrid w:val="0"/>
        <w:spacing w:line="400" w:lineRule="exact"/>
        <w:ind w:firstLine="420"/>
        <w:jc w:val="left"/>
        <w:rPr>
          <w:rFonts w:hint="eastAsia" w:ascii="仿宋" w:hAnsi="仿宋" w:cs="仿宋"/>
          <w:color w:val="auto"/>
          <w:kern w:val="0"/>
          <w:szCs w:val="21"/>
          <w:highlight w:val="none"/>
          <w:u w:val="single"/>
        </w:rPr>
      </w:pPr>
      <w:r>
        <w:rPr>
          <w:rFonts w:hint="eastAsia" w:ascii="仿宋" w:hAnsi="仿宋" w:cs="仿宋"/>
          <w:color w:val="auto"/>
          <w:kern w:val="0"/>
          <w:sz w:val="22"/>
          <w:szCs w:val="21"/>
          <w:highlight w:val="none"/>
        </w:rPr>
        <w:t xml:space="preserve">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询价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单一来源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 xml:space="preserve">框架协议 </w:t>
      </w:r>
      <w:r>
        <w:rPr>
          <w:rFonts w:hint="eastAsia" w:ascii="仿宋" w:hAnsi="仿宋" w:cs="仿宋"/>
          <w:color w:val="auto"/>
          <w:kern w:val="0"/>
          <w:szCs w:val="21"/>
          <w:highlight w:val="none"/>
        </w:rPr>
        <w:sym w:font="Wingdings" w:char="F0A8"/>
      </w:r>
      <w:r>
        <w:rPr>
          <w:rFonts w:hint="eastAsia" w:ascii="仿宋" w:hAnsi="仿宋" w:cs="仿宋"/>
          <w:color w:val="auto"/>
          <w:kern w:val="0"/>
          <w:szCs w:val="21"/>
          <w:highlight w:val="none"/>
        </w:rPr>
        <w:t>其他：</w:t>
      </w:r>
      <w:r>
        <w:rPr>
          <w:rFonts w:hint="eastAsia" w:ascii="仿宋" w:hAnsi="仿宋" w:cs="仿宋"/>
          <w:color w:val="auto"/>
          <w:kern w:val="0"/>
          <w:szCs w:val="21"/>
          <w:highlight w:val="none"/>
          <w:u w:val="single"/>
        </w:rPr>
        <w:t xml:space="preserve">          </w:t>
      </w:r>
    </w:p>
    <w:p>
      <w:pPr>
        <w:widowControl/>
        <w:autoSpaceDE w:val="0"/>
        <w:autoSpaceDN w:val="0"/>
        <w:adjustRightInd w:val="0"/>
        <w:snapToGrid w:val="0"/>
        <w:spacing w:line="400" w:lineRule="exact"/>
        <w:ind w:firstLine="42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（注：在框架协议采购的第二阶段，可选择使用该合同文本）</w:t>
      </w:r>
    </w:p>
    <w:p>
      <w:pPr>
        <w:widowControl/>
        <w:autoSpaceDE w:val="0"/>
        <w:autoSpaceDN w:val="0"/>
        <w:adjustRightInd w:val="0"/>
        <w:snapToGrid w:val="0"/>
        <w:spacing w:line="400" w:lineRule="exact"/>
        <w:ind w:firstLine="222" w:firstLineChars="100"/>
        <w:jc w:val="left"/>
        <w:rPr>
          <w:rFonts w:hint="eastAsia" w:ascii="仿宋" w:hAnsi="仿宋" w:cs="仿宋"/>
          <w:color w:val="auto"/>
          <w:szCs w:val="21"/>
          <w:highlight w:val="none"/>
        </w:rPr>
      </w:pPr>
      <w:r>
        <w:rPr>
          <w:rFonts w:hint="eastAsia" w:ascii="仿宋" w:hAnsi="仿宋" w:cs="仿宋"/>
          <w:color w:val="auto"/>
          <w:kern w:val="0"/>
          <w:sz w:val="22"/>
          <w:szCs w:val="21"/>
          <w:highlight w:val="none"/>
        </w:rPr>
        <w:t xml:space="preserve"> （</w:t>
      </w:r>
      <w:r>
        <w:rPr>
          <w:rFonts w:hint="eastAsia" w:ascii="仿宋" w:hAnsi="仿宋" w:cs="仿宋"/>
          <w:color w:val="auto"/>
          <w:kern w:val="0"/>
          <w:sz w:val="22"/>
          <w:szCs w:val="21"/>
          <w:highlight w:val="none"/>
          <w:lang w:val="en"/>
        </w:rPr>
        <w:t>6</w:t>
      </w:r>
      <w:r>
        <w:rPr>
          <w:rFonts w:hint="eastAsia" w:ascii="仿宋" w:hAnsi="仿宋" w:cs="仿宋"/>
          <w:color w:val="auto"/>
          <w:kern w:val="0"/>
          <w:sz w:val="22"/>
          <w:szCs w:val="21"/>
          <w:highlight w:val="none"/>
        </w:rPr>
        <w:t>）</w:t>
      </w:r>
      <w:r>
        <w:rPr>
          <w:rFonts w:hint="eastAsia" w:ascii="仿宋" w:hAnsi="仿宋" w:cs="仿宋"/>
          <w:color w:val="auto"/>
          <w:szCs w:val="21"/>
          <w:highlight w:val="none"/>
        </w:rPr>
        <w:t>中标（成交）采购标的制造商是否为中小企业：</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adjustRightInd w:val="0"/>
        <w:snapToGrid w:val="0"/>
        <w:spacing w:line="400" w:lineRule="exact"/>
        <w:rPr>
          <w:rFonts w:hint="eastAsia" w:ascii="仿宋" w:hAnsi="仿宋" w:cs="仿宋"/>
          <w:iCs/>
          <w:color w:val="auto"/>
          <w:szCs w:val="21"/>
          <w:highlight w:val="none"/>
        </w:rPr>
      </w:pPr>
      <w:r>
        <w:rPr>
          <w:rFonts w:hint="eastAsia" w:ascii="仿宋" w:hAnsi="仿宋" w:cs="仿宋"/>
          <w:color w:val="auto"/>
          <w:szCs w:val="21"/>
          <w:highlight w:val="none"/>
        </w:rPr>
        <w:t xml:space="preserve">         本合同是否为专门面向中小企业的采购合同（中小企业预留合同）：</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adjustRightInd w:val="0"/>
        <w:snapToGrid w:val="0"/>
        <w:spacing w:line="400" w:lineRule="exact"/>
        <w:rPr>
          <w:rFonts w:hint="eastAsia" w:ascii="仿宋" w:hAnsi="仿宋" w:cs="仿宋"/>
          <w:iCs/>
          <w:color w:val="auto"/>
          <w:szCs w:val="21"/>
          <w:highlight w:val="none"/>
        </w:rPr>
      </w:pPr>
      <w:r>
        <w:rPr>
          <w:rFonts w:hint="eastAsia" w:ascii="仿宋" w:hAnsi="仿宋" w:cs="仿宋"/>
          <w:color w:val="auto"/>
          <w:highlight w:val="none"/>
        </w:rPr>
        <w:t xml:space="preserve">         若本项目不专门面向中小企业采购，是否给予小微企业评审优惠：</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adjustRightInd w:val="0"/>
        <w:snapToGrid w:val="0"/>
        <w:spacing w:line="400" w:lineRule="exact"/>
        <w:rPr>
          <w:rFonts w:hint="eastAsia" w:ascii="仿宋" w:hAnsi="仿宋" w:cs="仿宋"/>
          <w:iCs/>
          <w:color w:val="auto"/>
          <w:szCs w:val="21"/>
          <w:highlight w:val="none"/>
        </w:rPr>
      </w:pPr>
      <w:r>
        <w:rPr>
          <w:rFonts w:hint="eastAsia" w:ascii="仿宋" w:hAnsi="仿宋" w:cs="仿宋"/>
          <w:color w:val="auto"/>
          <w:highlight w:val="none"/>
        </w:rPr>
        <w:t xml:space="preserve">         中标（成交）采购标的制造商是否为残疾人福利性单位：</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snapToGrid w:val="0"/>
        <w:spacing w:line="400" w:lineRule="exact"/>
        <w:rPr>
          <w:rFonts w:hint="eastAsia" w:ascii="仿宋" w:hAnsi="仿宋" w:cs="仿宋"/>
          <w:color w:val="auto"/>
          <w:highlight w:val="none"/>
        </w:rPr>
      </w:pPr>
      <w:r>
        <w:rPr>
          <w:rFonts w:hint="eastAsia" w:ascii="仿宋" w:hAnsi="仿宋" w:cs="仿宋"/>
          <w:color w:val="auto"/>
          <w:highlight w:val="none"/>
        </w:rPr>
        <w:t xml:space="preserve">         中标（成交）采购标的制造商是否为监狱企业：</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w:t>
      </w:r>
      <w:r>
        <w:rPr>
          <w:rFonts w:hint="eastAsia" w:ascii="仿宋" w:hAnsi="仿宋" w:cs="仿宋"/>
          <w:color w:val="auto"/>
          <w:szCs w:val="21"/>
          <w:highlight w:val="none"/>
          <w:lang w:val="en"/>
        </w:rPr>
        <w:t>7</w:t>
      </w:r>
      <w:r>
        <w:rPr>
          <w:rFonts w:hint="eastAsia" w:ascii="仿宋" w:hAnsi="仿宋" w:cs="仿宋"/>
          <w:color w:val="auto"/>
          <w:szCs w:val="21"/>
          <w:highlight w:val="none"/>
        </w:rPr>
        <w:t>）合同是否分包：</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adjustRightInd w:val="0"/>
        <w:snapToGrid w:val="0"/>
        <w:spacing w:line="400" w:lineRule="exact"/>
        <w:ind w:firstLine="848" w:firstLineChars="400"/>
        <w:rPr>
          <w:rFonts w:hint="eastAsia" w:ascii="仿宋" w:hAnsi="仿宋" w:cs="仿宋"/>
          <w:color w:val="auto"/>
          <w:szCs w:val="21"/>
          <w:highlight w:val="none"/>
          <w:u w:val="single"/>
        </w:rPr>
      </w:pPr>
      <w:r>
        <w:rPr>
          <w:rFonts w:hint="eastAsia" w:ascii="仿宋" w:hAnsi="仿宋" w:cs="仿宋"/>
          <w:color w:val="auto"/>
          <w:szCs w:val="21"/>
          <w:highlight w:val="none"/>
        </w:rPr>
        <w:t xml:space="preserve"> 分包主要内容：</w:t>
      </w:r>
      <w:r>
        <w:rPr>
          <w:rFonts w:hint="eastAsia" w:ascii="仿宋" w:hAnsi="仿宋" w:cs="仿宋"/>
          <w:color w:val="auto"/>
          <w:szCs w:val="21"/>
          <w:highlight w:val="none"/>
          <w:u w:val="single"/>
        </w:rPr>
        <w:t xml:space="preserve">                                            </w:t>
      </w:r>
    </w:p>
    <w:p>
      <w:pPr>
        <w:adjustRightInd w:val="0"/>
        <w:snapToGrid w:val="0"/>
        <w:spacing w:line="400" w:lineRule="exact"/>
        <w:ind w:firstLine="848" w:firstLineChars="400"/>
        <w:rPr>
          <w:rFonts w:hint="eastAsia" w:ascii="仿宋" w:hAnsi="仿宋" w:cs="仿宋"/>
          <w:color w:val="auto"/>
          <w:szCs w:val="21"/>
          <w:highlight w:val="none"/>
        </w:rPr>
      </w:pPr>
      <w:r>
        <w:rPr>
          <w:rFonts w:hint="eastAsia" w:ascii="仿宋" w:hAnsi="仿宋" w:cs="仿宋"/>
          <w:color w:val="auto"/>
          <w:szCs w:val="21"/>
          <w:highlight w:val="none"/>
        </w:rPr>
        <w:t xml:space="preserve"> 分包供应商/制造商名称（如供应商和制造商不同，请分别填写）：</w:t>
      </w:r>
    </w:p>
    <w:p>
      <w:pPr>
        <w:adjustRightInd w:val="0"/>
        <w:snapToGrid w:val="0"/>
        <w:spacing w:line="400" w:lineRule="exact"/>
        <w:ind w:firstLine="848" w:firstLineChars="400"/>
        <w:rPr>
          <w:rFonts w:hint="eastAsia" w:ascii="仿宋" w:hAnsi="仿宋" w:cs="仿宋"/>
          <w:color w:val="auto"/>
          <w:szCs w:val="21"/>
          <w:highlight w:val="none"/>
          <w:u w:val="single"/>
        </w:rPr>
      </w:pPr>
      <w:r>
        <w:rPr>
          <w:rFonts w:hint="eastAsia" w:ascii="仿宋" w:hAnsi="仿宋" w:cs="仿宋"/>
          <w:color w:val="auto"/>
          <w:szCs w:val="21"/>
          <w:highlight w:val="none"/>
        </w:rPr>
        <w:t xml:space="preserve"> </w:t>
      </w:r>
      <w:r>
        <w:rPr>
          <w:rFonts w:hint="eastAsia" w:ascii="仿宋" w:hAnsi="仿宋" w:cs="仿宋"/>
          <w:color w:val="auto"/>
          <w:szCs w:val="21"/>
          <w:highlight w:val="none"/>
          <w:u w:val="single"/>
        </w:rPr>
        <w:t xml:space="preserve">                                                          </w:t>
      </w:r>
    </w:p>
    <w:p>
      <w:pPr>
        <w:adjustRightInd w:val="0"/>
        <w:snapToGrid w:val="0"/>
        <w:spacing w:line="400" w:lineRule="exact"/>
        <w:ind w:firstLine="848" w:firstLineChars="400"/>
        <w:rPr>
          <w:rFonts w:hint="eastAsia" w:ascii="仿宋" w:hAnsi="仿宋" w:cs="仿宋"/>
          <w:color w:val="auto"/>
          <w:szCs w:val="21"/>
          <w:highlight w:val="none"/>
        </w:rPr>
      </w:pPr>
      <w:r>
        <w:rPr>
          <w:rFonts w:hint="eastAsia" w:ascii="仿宋" w:hAnsi="仿宋" w:cs="仿宋"/>
          <w:color w:val="auto"/>
          <w:szCs w:val="21"/>
          <w:highlight w:val="none"/>
        </w:rPr>
        <w:t xml:space="preserve"> 分包供应商/制造商类型（如果供应商和制造商不同，只填写制造商类型）：</w:t>
      </w:r>
    </w:p>
    <w:p>
      <w:pPr>
        <w:adjustRightInd w:val="0"/>
        <w:snapToGrid w:val="0"/>
        <w:spacing w:line="400" w:lineRule="exact"/>
        <w:ind w:firstLine="848" w:firstLineChars="400"/>
        <w:rPr>
          <w:rFonts w:hint="eastAsia" w:ascii="仿宋" w:hAnsi="仿宋" w:cs="仿宋"/>
          <w:iCs/>
          <w:color w:val="auto"/>
          <w:szCs w:val="21"/>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大型企业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中型企业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小微型企业  </w:t>
      </w:r>
    </w:p>
    <w:p>
      <w:pPr>
        <w:adjustRightInd w:val="0"/>
        <w:snapToGrid w:val="0"/>
        <w:spacing w:line="400" w:lineRule="exact"/>
        <w:ind w:firstLine="848" w:firstLineChars="400"/>
        <w:rPr>
          <w:rFonts w:hint="eastAsia" w:ascii="仿宋" w:hAnsi="仿宋" w:cs="仿宋"/>
          <w:color w:val="auto"/>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残疾人福利性单位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监狱企业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其他</w:t>
      </w:r>
    </w:p>
    <w:p>
      <w:pPr>
        <w:adjustRightInd w:val="0"/>
        <w:snapToGrid w:val="0"/>
        <w:spacing w:line="400" w:lineRule="exact"/>
        <w:rPr>
          <w:rFonts w:hint="eastAsia" w:ascii="仿宋" w:hAnsi="仿宋" w:cs="仿宋"/>
          <w:iCs/>
          <w:color w:val="auto"/>
          <w:szCs w:val="21"/>
          <w:highlight w:val="none"/>
        </w:rPr>
      </w:pPr>
      <w:r>
        <w:rPr>
          <w:rFonts w:hint="eastAsia" w:ascii="仿宋" w:hAnsi="仿宋" w:cs="仿宋"/>
          <w:color w:val="auto"/>
          <w:szCs w:val="21"/>
          <w:highlight w:val="none"/>
        </w:rPr>
        <w:t xml:space="preserve">    （</w:t>
      </w:r>
      <w:r>
        <w:rPr>
          <w:rFonts w:hint="eastAsia" w:ascii="仿宋" w:hAnsi="仿宋" w:cs="仿宋"/>
          <w:color w:val="auto"/>
          <w:szCs w:val="21"/>
          <w:highlight w:val="none"/>
          <w:lang w:val="en"/>
        </w:rPr>
        <w:t>8</w:t>
      </w:r>
      <w:r>
        <w:rPr>
          <w:rFonts w:hint="eastAsia" w:ascii="仿宋" w:hAnsi="仿宋" w:cs="仿宋"/>
          <w:color w:val="auto"/>
          <w:szCs w:val="21"/>
          <w:highlight w:val="none"/>
        </w:rPr>
        <w:t>）中标（成交）供应商是否为外商投资企业：</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是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否</w:t>
      </w:r>
    </w:p>
    <w:p>
      <w:pPr>
        <w:widowControl/>
        <w:tabs>
          <w:tab w:val="left" w:pos="1340"/>
        </w:tabs>
        <w:autoSpaceDE w:val="0"/>
        <w:autoSpaceDN w:val="0"/>
        <w:adjustRightInd w:val="0"/>
        <w:spacing w:line="400" w:lineRule="exact"/>
        <w:ind w:firstLine="424" w:firstLineChars="200"/>
        <w:jc w:val="left"/>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 xml:space="preserve">     外商投资企业类型：</w:t>
      </w:r>
      <w:r>
        <w:rPr>
          <w:rFonts w:hint="eastAsia" w:ascii="仿宋" w:hAnsi="仿宋" w:cs="仿宋"/>
          <w:iCs/>
          <w:color w:val="auto"/>
          <w:kern w:val="0"/>
          <w:szCs w:val="21"/>
          <w:highlight w:val="none"/>
        </w:rPr>
        <w:sym w:font="Wingdings" w:char="F0A8"/>
      </w:r>
      <w:r>
        <w:rPr>
          <w:rFonts w:hint="eastAsia" w:ascii="仿宋" w:hAnsi="仿宋" w:cs="仿宋"/>
          <w:color w:val="auto"/>
          <w:kern w:val="0"/>
          <w:szCs w:val="21"/>
          <w:highlight w:val="none"/>
        </w:rPr>
        <w:t xml:space="preserve">全部由外国投资者投资  </w:t>
      </w:r>
      <w:r>
        <w:rPr>
          <w:rFonts w:hint="eastAsia" w:ascii="仿宋" w:hAnsi="仿宋" w:cs="仿宋"/>
          <w:iCs/>
          <w:color w:val="auto"/>
          <w:kern w:val="0"/>
          <w:szCs w:val="21"/>
          <w:highlight w:val="none"/>
        </w:rPr>
        <w:sym w:font="Wingdings" w:char="F0A8"/>
      </w:r>
      <w:r>
        <w:rPr>
          <w:rFonts w:hint="eastAsia" w:ascii="仿宋" w:hAnsi="仿宋" w:cs="仿宋"/>
          <w:iCs/>
          <w:color w:val="auto"/>
          <w:kern w:val="0"/>
          <w:szCs w:val="21"/>
          <w:highlight w:val="none"/>
        </w:rPr>
        <w:t>部分由外国投资者投资</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w:t>
      </w:r>
      <w:r>
        <w:rPr>
          <w:rFonts w:hint="eastAsia" w:ascii="仿宋" w:hAnsi="仿宋" w:cs="仿宋"/>
          <w:color w:val="auto"/>
          <w:szCs w:val="21"/>
          <w:highlight w:val="none"/>
          <w:lang w:val="en"/>
        </w:rPr>
        <w:t>9</w:t>
      </w:r>
      <w:r>
        <w:rPr>
          <w:rFonts w:hint="eastAsia" w:ascii="仿宋" w:hAnsi="仿宋" w:cs="仿宋"/>
          <w:color w:val="auto"/>
          <w:szCs w:val="21"/>
          <w:highlight w:val="none"/>
        </w:rPr>
        <w:t>）是否涉及进口产品：</w:t>
      </w:r>
    </w:p>
    <w:p>
      <w:pPr>
        <w:adjustRightInd w:val="0"/>
        <w:snapToGrid w:val="0"/>
        <w:spacing w:line="400" w:lineRule="exact"/>
        <w:ind w:firstLine="848" w:firstLineChars="400"/>
        <w:rPr>
          <w:rFonts w:hint="eastAsia" w:ascii="仿宋" w:hAnsi="仿宋" w:cs="仿宋"/>
          <w:color w:val="auto"/>
          <w:szCs w:val="21"/>
          <w:highlight w:val="none"/>
          <w:u w:val="singl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是，《政府采购品目分类目录》底级品目名称：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金额：</w:t>
      </w:r>
      <w:r>
        <w:rPr>
          <w:rFonts w:hint="eastAsia" w:ascii="仿宋" w:hAnsi="仿宋" w:cs="仿宋"/>
          <w:color w:val="auto"/>
          <w:szCs w:val="21"/>
          <w:highlight w:val="none"/>
          <w:u w:val="single"/>
        </w:rPr>
        <w:t xml:space="preserve">        </w:t>
      </w:r>
    </w:p>
    <w:p>
      <w:pPr>
        <w:adjustRightInd w:val="0"/>
        <w:snapToGrid w:val="0"/>
        <w:spacing w:line="400" w:lineRule="exact"/>
        <w:ind w:firstLine="848" w:firstLineChars="400"/>
        <w:rPr>
          <w:rFonts w:hint="eastAsia" w:ascii="仿宋" w:hAnsi="仿宋" w:cs="仿宋"/>
          <w:color w:val="auto"/>
          <w:szCs w:val="21"/>
          <w:highlight w:val="none"/>
        </w:rPr>
      </w:pPr>
      <w:r>
        <w:rPr>
          <w:rFonts w:hint="eastAsia" w:ascii="仿宋" w:hAnsi="仿宋" w:cs="仿宋"/>
          <w:color w:val="auto"/>
          <w:szCs w:val="21"/>
          <w:highlight w:val="none"/>
        </w:rPr>
        <w:t xml:space="preserve">        国别：</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品牌：</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规格型号：</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p>
    <w:p>
      <w:pPr>
        <w:adjustRightInd w:val="0"/>
        <w:snapToGrid w:val="0"/>
        <w:spacing w:line="400" w:lineRule="exact"/>
        <w:ind w:firstLine="848" w:firstLineChars="400"/>
        <w:rPr>
          <w:rFonts w:hint="eastAsia" w:ascii="仿宋" w:hAnsi="仿宋" w:cs="仿宋"/>
          <w:color w:val="auto"/>
          <w:szCs w:val="21"/>
          <w:highlight w:val="non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tabs>
          <w:tab w:val="left" w:pos="740"/>
        </w:tabs>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（1</w:t>
      </w:r>
      <w:r>
        <w:rPr>
          <w:rFonts w:hint="eastAsia" w:ascii="仿宋" w:hAnsi="仿宋" w:cs="仿宋"/>
          <w:color w:val="auto"/>
          <w:szCs w:val="21"/>
          <w:highlight w:val="none"/>
          <w:lang w:val="en"/>
        </w:rPr>
        <w:t>0</w:t>
      </w:r>
      <w:r>
        <w:rPr>
          <w:rFonts w:hint="eastAsia" w:ascii="仿宋" w:hAnsi="仿宋" w:cs="仿宋"/>
          <w:color w:val="auto"/>
          <w:szCs w:val="21"/>
          <w:highlight w:val="none"/>
        </w:rPr>
        <w:t>）是否涉及节能产品：</w:t>
      </w:r>
    </w:p>
    <w:p>
      <w:pPr>
        <w:tabs>
          <w:tab w:val="left" w:pos="740"/>
        </w:tabs>
        <w:adjustRightInd w:val="0"/>
        <w:snapToGrid w:val="0"/>
        <w:spacing w:line="400" w:lineRule="exact"/>
        <w:rPr>
          <w:rFonts w:hint="eastAsia" w:ascii="仿宋" w:hAnsi="仿宋" w:cs="仿宋"/>
          <w:iCs/>
          <w:color w:val="auto"/>
          <w:szCs w:val="21"/>
          <w:highlight w:val="non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是，《节能产品政府采购品目清单》的底级品目名称：</w:t>
      </w:r>
      <w:r>
        <w:rPr>
          <w:rFonts w:hint="eastAsia" w:ascii="仿宋" w:hAnsi="仿宋" w:cs="仿宋"/>
          <w:color w:val="auto"/>
          <w:szCs w:val="21"/>
          <w:highlight w:val="none"/>
          <w:u w:val="single"/>
        </w:rPr>
        <w:t xml:space="preserve">         </w:t>
      </w:r>
      <w:r>
        <w:rPr>
          <w:rFonts w:hint="eastAsia" w:ascii="仿宋" w:hAnsi="仿宋" w:cs="仿宋"/>
          <w:iCs/>
          <w:color w:val="auto"/>
          <w:szCs w:val="21"/>
          <w:highlight w:val="none"/>
        </w:rPr>
        <w:t xml:space="preserve">     </w:t>
      </w:r>
    </w:p>
    <w:p>
      <w:pPr>
        <w:tabs>
          <w:tab w:val="left" w:pos="740"/>
        </w:tabs>
        <w:adjustRightInd w:val="0"/>
        <w:snapToGrid w:val="0"/>
        <w:spacing w:line="400" w:lineRule="exact"/>
        <w:rPr>
          <w:rFonts w:hint="eastAsia" w:ascii="仿宋" w:hAnsi="仿宋" w:cs="仿宋"/>
          <w:iCs/>
          <w:color w:val="auto"/>
          <w:szCs w:val="21"/>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强制采购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优先采购    </w:t>
      </w:r>
    </w:p>
    <w:p>
      <w:pPr>
        <w:tabs>
          <w:tab w:val="left" w:pos="740"/>
        </w:tabs>
        <w:adjustRightInd w:val="0"/>
        <w:snapToGrid w:val="0"/>
        <w:spacing w:line="400" w:lineRule="exact"/>
        <w:rPr>
          <w:rFonts w:hint="eastAsia" w:ascii="仿宋" w:hAnsi="仿宋" w:cs="仿宋"/>
          <w:color w:val="auto"/>
          <w:szCs w:val="21"/>
          <w:highlight w:val="none"/>
        </w:rPr>
      </w:pPr>
      <w:r>
        <w:rPr>
          <w:rFonts w:hint="eastAsia" w:ascii="仿宋" w:hAnsi="仿宋" w:cs="仿宋"/>
          <w:iCs/>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tabs>
          <w:tab w:val="left" w:pos="740"/>
        </w:tabs>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是否涉及环境标志产品：</w:t>
      </w:r>
    </w:p>
    <w:p>
      <w:pPr>
        <w:tabs>
          <w:tab w:val="left" w:pos="740"/>
        </w:tabs>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是，《环境标志产品政府采购品目清单》的底级品目名称：</w:t>
      </w:r>
      <w:r>
        <w:rPr>
          <w:rFonts w:hint="eastAsia" w:ascii="仿宋" w:hAnsi="仿宋" w:cs="仿宋"/>
          <w:color w:val="auto"/>
          <w:szCs w:val="21"/>
          <w:highlight w:val="none"/>
          <w:u w:val="single"/>
        </w:rPr>
        <w:t xml:space="preserve">         </w:t>
      </w:r>
      <w:r>
        <w:rPr>
          <w:rFonts w:hint="eastAsia" w:ascii="仿宋" w:hAnsi="仿宋" w:cs="仿宋"/>
          <w:iCs/>
          <w:color w:val="auto"/>
          <w:szCs w:val="21"/>
          <w:highlight w:val="none"/>
        </w:rPr>
        <w:t xml:space="preserve"> </w:t>
      </w:r>
    </w:p>
    <w:p>
      <w:pPr>
        <w:tabs>
          <w:tab w:val="left" w:pos="740"/>
        </w:tabs>
        <w:adjustRightInd w:val="0"/>
        <w:snapToGrid w:val="0"/>
        <w:spacing w:line="400" w:lineRule="exact"/>
        <w:rPr>
          <w:rFonts w:hint="eastAsia" w:ascii="仿宋" w:hAnsi="仿宋" w:cs="仿宋"/>
          <w:iCs/>
          <w:color w:val="auto"/>
          <w:szCs w:val="21"/>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强制采购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优先采购    </w:t>
      </w:r>
    </w:p>
    <w:p>
      <w:pPr>
        <w:tabs>
          <w:tab w:val="left" w:pos="740"/>
        </w:tabs>
        <w:adjustRightInd w:val="0"/>
        <w:snapToGrid w:val="0"/>
        <w:spacing w:line="400" w:lineRule="exact"/>
        <w:rPr>
          <w:rFonts w:hint="eastAsia" w:ascii="仿宋" w:hAnsi="仿宋" w:cs="仿宋"/>
          <w:color w:val="auto"/>
          <w:szCs w:val="21"/>
          <w:highlight w:val="none"/>
        </w:rPr>
      </w:pPr>
      <w:r>
        <w:rPr>
          <w:rFonts w:hint="eastAsia" w:ascii="仿宋" w:hAnsi="仿宋" w:cs="仿宋"/>
          <w:iCs/>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widowControl/>
        <w:autoSpaceDE w:val="0"/>
        <w:autoSpaceDN w:val="0"/>
        <w:adjustRightInd w:val="0"/>
        <w:snapToGrid w:val="0"/>
        <w:spacing w:line="400" w:lineRule="exact"/>
        <w:jc w:val="left"/>
        <w:rPr>
          <w:rFonts w:hint="eastAsia" w:ascii="仿宋" w:hAnsi="仿宋" w:cs="仿宋"/>
          <w:color w:val="auto"/>
          <w:szCs w:val="21"/>
          <w:highlight w:val="none"/>
        </w:rPr>
      </w:pPr>
      <w:r>
        <w:rPr>
          <w:rFonts w:hint="eastAsia" w:ascii="仿宋" w:hAnsi="仿宋" w:cs="仿宋"/>
          <w:color w:val="auto"/>
          <w:kern w:val="0"/>
          <w:szCs w:val="21"/>
          <w:highlight w:val="none"/>
        </w:rPr>
        <w:t xml:space="preserve">          </w:t>
      </w:r>
      <w:r>
        <w:rPr>
          <w:rFonts w:hint="eastAsia" w:ascii="仿宋" w:hAnsi="仿宋" w:cs="仿宋"/>
          <w:color w:val="auto"/>
          <w:szCs w:val="21"/>
          <w:highlight w:val="none"/>
        </w:rPr>
        <w:t xml:space="preserve">是否涉及绿色产品： </w:t>
      </w:r>
    </w:p>
    <w:p>
      <w:pPr>
        <w:widowControl/>
        <w:autoSpaceDE w:val="0"/>
        <w:autoSpaceDN w:val="0"/>
        <w:adjustRightInd w:val="0"/>
        <w:spacing w:line="400" w:lineRule="exact"/>
        <w:ind w:firstLine="420"/>
        <w:jc w:val="left"/>
        <w:rPr>
          <w:rFonts w:hint="eastAsia" w:ascii="仿宋" w:hAnsi="仿宋" w:cs="仿宋"/>
          <w:color w:val="auto"/>
          <w:kern w:val="0"/>
          <w:sz w:val="22"/>
          <w:szCs w:val="21"/>
          <w:highlight w:val="none"/>
          <w:u w:val="singl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是，绿色产品政府采购相关政策确定的底级品目名称：</w:t>
      </w:r>
      <w:r>
        <w:rPr>
          <w:rFonts w:hint="eastAsia" w:ascii="仿宋" w:hAnsi="仿宋" w:cs="仿宋"/>
          <w:color w:val="auto"/>
          <w:kern w:val="0"/>
          <w:sz w:val="22"/>
          <w:szCs w:val="21"/>
          <w:highlight w:val="none"/>
          <w:u w:val="single"/>
        </w:rPr>
        <w:t xml:space="preserve">         </w:t>
      </w:r>
    </w:p>
    <w:p>
      <w:pPr>
        <w:tabs>
          <w:tab w:val="left" w:pos="740"/>
        </w:tabs>
        <w:adjustRightInd w:val="0"/>
        <w:snapToGrid w:val="0"/>
        <w:spacing w:line="400" w:lineRule="exact"/>
        <w:rPr>
          <w:rFonts w:hint="eastAsia" w:ascii="仿宋" w:hAnsi="仿宋" w:cs="仿宋"/>
          <w:iCs/>
          <w:color w:val="auto"/>
          <w:szCs w:val="21"/>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强制采购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优先采购    </w:t>
      </w:r>
    </w:p>
    <w:p>
      <w:pPr>
        <w:widowControl/>
        <w:autoSpaceDE w:val="0"/>
        <w:autoSpaceDN w:val="0"/>
        <w:adjustRightInd w:val="0"/>
        <w:spacing w:line="400" w:lineRule="exact"/>
        <w:ind w:firstLine="420"/>
        <w:jc w:val="left"/>
        <w:rPr>
          <w:rFonts w:hint="eastAsia" w:ascii="仿宋" w:hAnsi="仿宋" w:cs="仿宋"/>
          <w:color w:val="auto"/>
          <w:kern w:val="0"/>
          <w:szCs w:val="21"/>
          <w:highlight w:val="none"/>
        </w:rPr>
      </w:pPr>
      <w:r>
        <w:rPr>
          <w:rFonts w:hint="eastAsia" w:ascii="仿宋" w:hAnsi="仿宋" w:cs="仿宋"/>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（1</w:t>
      </w:r>
      <w:r>
        <w:rPr>
          <w:rFonts w:hint="eastAsia" w:ascii="仿宋" w:hAnsi="仿宋" w:cs="仿宋"/>
          <w:color w:val="auto"/>
          <w:szCs w:val="21"/>
          <w:highlight w:val="none"/>
          <w:lang w:val="en"/>
        </w:rPr>
        <w:t>1</w:t>
      </w:r>
      <w:r>
        <w:rPr>
          <w:rFonts w:hint="eastAsia" w:ascii="仿宋" w:hAnsi="仿宋" w:cs="仿宋"/>
          <w:color w:val="auto"/>
          <w:szCs w:val="21"/>
          <w:highlight w:val="none"/>
        </w:rPr>
        <w:t>）涉及商品包装和快递包装的，是否参考《商品包装政府采购需求标准（试行）》、《快递包装政府采购需求标准（试行）》明确产品及相关快递服务的具体包装要求：</w:t>
      </w:r>
    </w:p>
    <w:p>
      <w:pPr>
        <w:adjustRightInd w:val="0"/>
        <w:snapToGrid w:val="0"/>
        <w:spacing w:line="400" w:lineRule="exact"/>
        <w:ind w:firstLine="848" w:firstLineChars="400"/>
        <w:rPr>
          <w:rFonts w:hint="eastAsia" w:ascii="仿宋" w:hAnsi="仿宋" w:cs="仿宋"/>
          <w:color w:val="auto"/>
          <w:szCs w:val="21"/>
          <w:highlight w:val="none"/>
        </w:rPr>
      </w:pPr>
      <w:r>
        <w:rPr>
          <w:rFonts w:hint="eastAsia" w:ascii="仿宋" w:hAnsi="仿宋" w:cs="仿宋"/>
          <w:color w:val="auto"/>
          <w:szCs w:val="21"/>
          <w:highlight w:val="none"/>
        </w:rPr>
        <w:sym w:font="Wingdings" w:char="F0A8"/>
      </w:r>
      <w:r>
        <w:rPr>
          <w:rFonts w:hint="eastAsia" w:ascii="仿宋" w:hAnsi="仿宋" w:cs="仿宋"/>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 xml:space="preserve">否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不涉及</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合同金额</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（1）合同金额小写：</w:t>
      </w:r>
      <w:r>
        <w:rPr>
          <w:rFonts w:hint="eastAsia" w:ascii="仿宋" w:hAnsi="仿宋" w:cs="仿宋"/>
          <w:color w:val="auto"/>
          <w:szCs w:val="21"/>
          <w:highlight w:val="none"/>
          <w:u w:val="single"/>
        </w:rPr>
        <w:t xml:space="preserve">                           </w:t>
      </w:r>
    </w:p>
    <w:p>
      <w:pPr>
        <w:adjustRightInd w:val="0"/>
        <w:snapToGrid w:val="0"/>
        <w:spacing w:line="400" w:lineRule="exact"/>
        <w:rPr>
          <w:rFonts w:hint="eastAsia" w:ascii="仿宋" w:hAnsi="仿宋" w:cs="仿宋"/>
          <w:color w:val="auto"/>
          <w:szCs w:val="21"/>
          <w:highlight w:val="none"/>
          <w:u w:val="single"/>
        </w:rPr>
      </w:pPr>
      <w:r>
        <w:rPr>
          <w:rFonts w:hint="eastAsia" w:ascii="仿宋" w:hAnsi="仿宋" w:cs="仿宋"/>
          <w:color w:val="auto"/>
          <w:szCs w:val="21"/>
          <w:highlight w:val="none"/>
        </w:rPr>
        <w:t xml:space="preserve">                 大写：</w:t>
      </w:r>
      <w:r>
        <w:rPr>
          <w:rFonts w:hint="eastAsia" w:ascii="仿宋" w:hAnsi="仿宋" w:cs="仿宋"/>
          <w:color w:val="auto"/>
          <w:szCs w:val="21"/>
          <w:highlight w:val="none"/>
          <w:u w:val="single"/>
        </w:rPr>
        <w:t xml:space="preserve">                           </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分包金额（如有）小写：</w:t>
      </w:r>
      <w:r>
        <w:rPr>
          <w:rFonts w:hint="eastAsia" w:ascii="仿宋" w:hAnsi="仿宋" w:cs="仿宋"/>
          <w:color w:val="auto"/>
          <w:szCs w:val="21"/>
          <w:highlight w:val="none"/>
          <w:u w:val="single"/>
        </w:rPr>
        <w:t xml:space="preserve">                   </w:t>
      </w:r>
    </w:p>
    <w:p>
      <w:pPr>
        <w:adjustRightInd w:val="0"/>
        <w:snapToGrid w:val="0"/>
        <w:spacing w:line="400" w:lineRule="exact"/>
        <w:rPr>
          <w:rFonts w:hint="eastAsia" w:ascii="仿宋" w:hAnsi="仿宋" w:cs="仿宋"/>
          <w:color w:val="auto"/>
          <w:szCs w:val="21"/>
          <w:highlight w:val="none"/>
          <w:u w:val="single"/>
        </w:rPr>
      </w:pPr>
      <w:r>
        <w:rPr>
          <w:rFonts w:hint="eastAsia" w:ascii="仿宋" w:hAnsi="仿宋" w:cs="仿宋"/>
          <w:color w:val="auto"/>
          <w:szCs w:val="21"/>
          <w:highlight w:val="none"/>
        </w:rPr>
        <w:t xml:space="preserve">                     大写：</w:t>
      </w:r>
      <w:r>
        <w:rPr>
          <w:rFonts w:hint="eastAsia" w:ascii="仿宋" w:hAnsi="仿宋" w:cs="仿宋"/>
          <w:color w:val="auto"/>
          <w:szCs w:val="21"/>
          <w:highlight w:val="none"/>
          <w:u w:val="single"/>
        </w:rPr>
        <w:t xml:space="preserve">                       </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（注：固定单价合同应填写单价和最高限价）</w:t>
      </w:r>
    </w:p>
    <w:p>
      <w:pPr>
        <w:adjustRightInd w:val="0"/>
        <w:snapToGrid w:val="0"/>
        <w:spacing w:line="400" w:lineRule="exact"/>
        <w:rPr>
          <w:rFonts w:hint="eastAsia" w:ascii="仿宋" w:hAnsi="仿宋" w:cs="仿宋"/>
          <w:color w:val="auto"/>
          <w:szCs w:val="21"/>
          <w:highlight w:val="none"/>
        </w:rPr>
      </w:pPr>
      <w:r>
        <w:rPr>
          <w:rFonts w:hint="eastAsia" w:ascii="仿宋" w:hAnsi="仿宋" w:cs="仿宋"/>
          <w:color w:val="auto"/>
          <w:szCs w:val="21"/>
          <w:highlight w:val="none"/>
        </w:rPr>
        <w:t xml:space="preserve">    （2）合同定价方式（采用组合定价方式的，可以勾选多项）：</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iCs/>
          <w:color w:val="auto"/>
          <w:szCs w:val="21"/>
          <w:highlight w:val="none"/>
        </w:rPr>
        <w:t xml:space="preserve">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固定总价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固定单价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固定费率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成本补偿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 xml:space="preserve">绩效激励 </w:t>
      </w:r>
      <w:r>
        <w:rPr>
          <w:rFonts w:hint="eastAsia" w:ascii="仿宋" w:hAnsi="仿宋" w:cs="仿宋"/>
          <w:iCs/>
          <w:color w:val="auto"/>
          <w:szCs w:val="21"/>
          <w:highlight w:val="none"/>
        </w:rPr>
        <w:sym w:font="Wingdings" w:char="F0A8"/>
      </w:r>
      <w:r>
        <w:rPr>
          <w:rFonts w:hint="eastAsia" w:ascii="仿宋" w:hAnsi="仿宋" w:cs="仿宋"/>
          <w:iCs/>
          <w:color w:val="auto"/>
          <w:szCs w:val="21"/>
          <w:highlight w:val="none"/>
        </w:rPr>
        <w:t>其他</w:t>
      </w:r>
      <w:r>
        <w:rPr>
          <w:rFonts w:hint="eastAsia" w:ascii="仿宋" w:hAnsi="仿宋" w:cs="仿宋"/>
          <w:color w:val="auto"/>
          <w:szCs w:val="21"/>
          <w:highlight w:val="none"/>
          <w:u w:val="single"/>
        </w:rPr>
        <w:t xml:space="preserve">       </w:t>
      </w:r>
    </w:p>
    <w:p>
      <w:pPr>
        <w:widowControl/>
        <w:spacing w:after="200" w:line="400" w:lineRule="exact"/>
        <w:ind w:left="720"/>
        <w:contextualSpacing/>
        <w:jc w:val="left"/>
        <w:rPr>
          <w:rFonts w:hint="eastAsia" w:ascii="仿宋" w:hAnsi="仿宋" w:cs="仿宋"/>
          <w:color w:val="auto"/>
          <w:kern w:val="0"/>
          <w:sz w:val="22"/>
          <w:szCs w:val="22"/>
          <w:highlight w:val="none"/>
        </w:rPr>
      </w:pPr>
      <w:r>
        <w:rPr>
          <w:rFonts w:hint="eastAsia" w:ascii="仿宋" w:hAnsi="仿宋" w:cs="仿宋"/>
          <w:color w:val="auto"/>
          <w:kern w:val="0"/>
          <w:sz w:val="22"/>
          <w:szCs w:val="22"/>
          <w:highlight w:val="none"/>
        </w:rPr>
        <w:t>（3）付款方式（按项目实际勾选填写）：</w:t>
      </w:r>
    </w:p>
    <w:p>
      <w:pPr>
        <w:adjustRightInd w:val="0"/>
        <w:snapToGrid w:val="0"/>
        <w:spacing w:line="400" w:lineRule="exact"/>
        <w:ind w:firstLine="636" w:firstLineChars="300"/>
        <w:rPr>
          <w:rFonts w:hint="eastAsia" w:ascii="仿宋" w:hAnsi="仿宋" w:cs="仿宋"/>
          <w:color w:val="auto"/>
          <w:szCs w:val="21"/>
          <w:highlight w:val="none"/>
          <w:u w:val="single"/>
        </w:rPr>
      </w:pPr>
      <w:r>
        <w:rPr>
          <w:rFonts w:hint="eastAsia" w:ascii="仿宋" w:hAnsi="仿宋" w:cs="仿宋"/>
          <w:color w:val="auto"/>
          <w:szCs w:val="21"/>
          <w:highlight w:val="none"/>
        </w:rPr>
        <w:sym w:font="Wingdings" w:char="F0A8"/>
      </w:r>
      <w:r>
        <w:rPr>
          <w:rFonts w:hint="eastAsia" w:ascii="仿宋" w:hAnsi="仿宋" w:cs="仿宋"/>
          <w:color w:val="auto"/>
          <w:szCs w:val="21"/>
          <w:highlight w:val="none"/>
        </w:rPr>
        <w:t>全额付款：</w:t>
      </w:r>
      <w:r>
        <w:rPr>
          <w:rFonts w:hint="eastAsia" w:ascii="仿宋" w:hAnsi="仿宋" w:cs="仿宋"/>
          <w:color w:val="auto"/>
          <w:szCs w:val="21"/>
          <w:highlight w:val="none"/>
          <w:u w:val="single"/>
        </w:rPr>
        <w:t xml:space="preserve">     （应明确一次性支付合同款项的条件）                    </w:t>
      </w:r>
    </w:p>
    <w:p>
      <w:pPr>
        <w:snapToGrid w:val="0"/>
        <w:spacing w:line="400" w:lineRule="exact"/>
        <w:ind w:firstLine="636" w:firstLineChars="300"/>
        <w:rPr>
          <w:rFonts w:hint="eastAsia" w:ascii="仿宋" w:hAnsi="仿宋" w:cs="仿宋"/>
          <w:color w:val="auto"/>
          <w:highlight w:val="none"/>
        </w:rPr>
      </w:pPr>
      <w:r>
        <w:rPr>
          <w:rFonts w:hint="eastAsia" w:ascii="仿宋" w:hAnsi="仿宋" w:cs="仿宋"/>
          <w:color w:val="auto"/>
          <w:szCs w:val="21"/>
          <w:highlight w:val="none"/>
        </w:rPr>
        <w:sym w:font="Wingdings" w:char="F0A8"/>
      </w:r>
      <w:r>
        <w:rPr>
          <w:rFonts w:hint="eastAsia" w:ascii="仿宋" w:hAnsi="仿宋" w:cs="仿宋"/>
          <w:color w:val="auto"/>
          <w:szCs w:val="21"/>
          <w:highlight w:val="none"/>
        </w:rPr>
        <w:t>分期付款：</w:t>
      </w:r>
      <w:r>
        <w:rPr>
          <w:rFonts w:hint="eastAsia" w:ascii="仿宋" w:hAnsi="仿宋" w:cs="仿宋"/>
          <w:color w:val="auto"/>
          <w:szCs w:val="21"/>
          <w:highlight w:val="none"/>
          <w:u w:val="single"/>
        </w:rPr>
        <w:t xml:space="preserve">  （应明确分期支付合同款项的各期比例和支付条件，各期支付条件应与分期履约验收情况挂钩） </w:t>
      </w:r>
      <w:r>
        <w:rPr>
          <w:rFonts w:hint="eastAsia" w:ascii="仿宋" w:hAnsi="仿宋" w:cs="仿宋"/>
          <w:color w:val="auto"/>
          <w:szCs w:val="21"/>
          <w:highlight w:val="none"/>
        </w:rPr>
        <w:t>，其中涉及预付款的：</w:t>
      </w:r>
      <w:r>
        <w:rPr>
          <w:rFonts w:hint="eastAsia" w:ascii="仿宋" w:hAnsi="仿宋" w:cs="仿宋"/>
          <w:color w:val="auto"/>
          <w:szCs w:val="21"/>
          <w:highlight w:val="none"/>
          <w:u w:val="single"/>
        </w:rPr>
        <w:t xml:space="preserve"> （应明确预付款的支付比例和支付条件） </w:t>
      </w:r>
    </w:p>
    <w:p>
      <w:pPr>
        <w:adjustRightInd w:val="0"/>
        <w:snapToGrid w:val="0"/>
        <w:spacing w:line="400" w:lineRule="exact"/>
        <w:ind w:firstLine="636" w:firstLineChars="300"/>
        <w:rPr>
          <w:rFonts w:hint="eastAsia" w:ascii="仿宋" w:hAnsi="仿宋" w:cs="仿宋"/>
          <w:color w:val="auto"/>
          <w:szCs w:val="21"/>
          <w:highlight w:val="none"/>
          <w:u w:val="single"/>
        </w:rPr>
      </w:pPr>
      <w:r>
        <w:rPr>
          <w:rFonts w:hint="eastAsia" w:ascii="仿宋" w:hAnsi="仿宋" w:cs="仿宋"/>
          <w:color w:val="auto"/>
          <w:szCs w:val="21"/>
          <w:highlight w:val="none"/>
        </w:rPr>
        <w:sym w:font="Wingdings" w:char="F0A8"/>
      </w:r>
      <w:r>
        <w:rPr>
          <w:rFonts w:hint="eastAsia" w:ascii="仿宋" w:hAnsi="仿宋" w:cs="仿宋"/>
          <w:color w:val="auto"/>
          <w:szCs w:val="21"/>
          <w:highlight w:val="none"/>
        </w:rPr>
        <w:t>成本补偿：</w:t>
      </w:r>
      <w:r>
        <w:rPr>
          <w:rFonts w:hint="eastAsia" w:ascii="仿宋" w:hAnsi="仿宋" w:cs="仿宋"/>
          <w:color w:val="auto"/>
          <w:szCs w:val="21"/>
          <w:highlight w:val="none"/>
          <w:u w:val="single"/>
        </w:rPr>
        <w:t xml:space="preserve">      （应明确按照成本补偿方式的支付方式和支付条件）   </w:t>
      </w:r>
    </w:p>
    <w:p>
      <w:pPr>
        <w:adjustRightInd w:val="0"/>
        <w:snapToGrid w:val="0"/>
        <w:spacing w:line="400" w:lineRule="exact"/>
        <w:ind w:firstLine="636" w:firstLineChars="300"/>
        <w:rPr>
          <w:rFonts w:hint="eastAsia" w:ascii="仿宋" w:hAnsi="仿宋" w:cs="仿宋"/>
          <w:color w:val="auto"/>
          <w:szCs w:val="21"/>
          <w:highlight w:val="none"/>
        </w:rPr>
      </w:pPr>
      <w:r>
        <w:rPr>
          <w:rFonts w:hint="eastAsia" w:ascii="仿宋" w:hAnsi="仿宋" w:cs="仿宋"/>
          <w:color w:val="auto"/>
          <w:szCs w:val="21"/>
          <w:highlight w:val="none"/>
        </w:rPr>
        <w:sym w:font="Wingdings" w:char="F0A8"/>
      </w:r>
      <w:r>
        <w:rPr>
          <w:rFonts w:hint="eastAsia" w:ascii="仿宋" w:hAnsi="仿宋" w:cs="仿宋"/>
          <w:color w:val="auto"/>
          <w:szCs w:val="21"/>
          <w:highlight w:val="none"/>
        </w:rPr>
        <w:t>绩效激励：</w:t>
      </w:r>
      <w:r>
        <w:rPr>
          <w:rFonts w:hint="eastAsia" w:ascii="仿宋" w:hAnsi="仿宋" w:cs="仿宋"/>
          <w:color w:val="auto"/>
          <w:szCs w:val="21"/>
          <w:highlight w:val="none"/>
          <w:u w:val="single"/>
        </w:rPr>
        <w:t xml:space="preserve">      （应明确按照绩效激励方式的支付方式和支付条件）   </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u w:val="single"/>
        </w:rPr>
      </w:pPr>
      <w:r>
        <w:rPr>
          <w:rFonts w:hint="eastAsia" w:ascii="仿宋" w:hAnsi="仿宋" w:cs="仿宋"/>
          <w:b/>
          <w:color w:val="auto"/>
          <w:szCs w:val="21"/>
          <w:highlight w:val="none"/>
        </w:rPr>
        <w:t>合同履行</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（1）起始日期：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月</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日，完成日期：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月</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日。</w:t>
      </w:r>
    </w:p>
    <w:p>
      <w:pPr>
        <w:adjustRightInd w:val="0"/>
        <w:snapToGrid w:val="0"/>
        <w:spacing w:line="400" w:lineRule="exact"/>
        <w:ind w:firstLine="424" w:firstLineChars="200"/>
        <w:rPr>
          <w:rFonts w:hint="eastAsia" w:ascii="仿宋" w:hAnsi="仿宋" w:cs="仿宋"/>
          <w:color w:val="auto"/>
          <w:szCs w:val="21"/>
          <w:highlight w:val="none"/>
          <w:u w:val="single"/>
        </w:rPr>
      </w:pPr>
      <w:r>
        <w:rPr>
          <w:rFonts w:hint="eastAsia" w:ascii="仿宋" w:hAnsi="仿宋" w:cs="仿宋"/>
          <w:color w:val="auto"/>
          <w:szCs w:val="21"/>
          <w:highlight w:val="none"/>
        </w:rPr>
        <w:t>（2）履约地点</w:t>
      </w:r>
      <w:r>
        <w:rPr>
          <w:rFonts w:hint="eastAsia" w:ascii="仿宋" w:hAnsi="仿宋" w:cs="仿宋"/>
          <w:bCs/>
          <w:color w:val="auto"/>
          <w:szCs w:val="21"/>
          <w:highlight w:val="none"/>
        </w:rPr>
        <w:t>：</w:t>
      </w:r>
      <w:r>
        <w:rPr>
          <w:rFonts w:hint="eastAsia" w:ascii="仿宋" w:hAnsi="仿宋" w:cs="仿宋"/>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bCs/>
          <w:color w:val="auto"/>
          <w:szCs w:val="21"/>
          <w:highlight w:val="none"/>
        </w:rPr>
        <w:t>（3）履约担保：</w:t>
      </w:r>
      <w:r>
        <w:rPr>
          <w:rFonts w:hint="eastAsia" w:ascii="仿宋" w:hAnsi="仿宋" w:cs="仿宋"/>
          <w:color w:val="auto"/>
          <w:highlight w:val="none"/>
        </w:rPr>
        <w:t>是否收取履约保证金：</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color w:val="auto"/>
          <w:szCs w:val="21"/>
          <w:highlight w:val="none"/>
        </w:rPr>
        <w:t>否</w:t>
      </w:r>
    </w:p>
    <w:p>
      <w:pPr>
        <w:widowControl/>
        <w:autoSpaceDE w:val="0"/>
        <w:autoSpaceDN w:val="0"/>
        <w:adjustRightInd w:val="0"/>
        <w:spacing w:line="400" w:lineRule="exact"/>
        <w:ind w:firstLine="444" w:firstLineChars="200"/>
        <w:jc w:val="left"/>
        <w:rPr>
          <w:rFonts w:hint="eastAsia" w:ascii="仿宋" w:hAnsi="仿宋" w:cs="仿宋"/>
          <w:color w:val="auto"/>
          <w:kern w:val="0"/>
          <w:szCs w:val="21"/>
          <w:highlight w:val="none"/>
        </w:rPr>
      </w:pPr>
      <w:r>
        <w:rPr>
          <w:rFonts w:hint="eastAsia" w:ascii="仿宋" w:hAnsi="仿宋" w:cs="仿宋"/>
          <w:bCs/>
          <w:color w:val="auto"/>
          <w:kern w:val="0"/>
          <w:sz w:val="22"/>
          <w:szCs w:val="21"/>
          <w:highlight w:val="none"/>
        </w:rPr>
        <w:t xml:space="preserve">  </w:t>
      </w:r>
      <w:r>
        <w:rPr>
          <w:rFonts w:hint="eastAsia" w:ascii="仿宋" w:hAnsi="仿宋" w:cs="仿宋"/>
          <w:color w:val="auto"/>
          <w:kern w:val="0"/>
          <w:szCs w:val="21"/>
          <w:highlight w:val="none"/>
        </w:rPr>
        <w:t xml:space="preserve">  收取履约保证金形式：</w:t>
      </w:r>
      <w:r>
        <w:rPr>
          <w:rFonts w:hint="eastAsia" w:ascii="仿宋" w:hAnsi="仿宋" w:cs="仿宋"/>
          <w:bCs/>
          <w:color w:val="auto"/>
          <w:kern w:val="0"/>
          <w:szCs w:val="21"/>
          <w:highlight w:val="none"/>
          <w:u w:val="single"/>
        </w:rPr>
        <w:t xml:space="preserve">                            </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收取履约保证金金额：</w:t>
      </w:r>
      <w:r>
        <w:rPr>
          <w:rFonts w:hint="eastAsia" w:ascii="仿宋" w:hAnsi="仿宋" w:cs="仿宋"/>
          <w:bCs/>
          <w:color w:val="auto"/>
          <w:kern w:val="0"/>
          <w:szCs w:val="21"/>
          <w:highlight w:val="none"/>
          <w:u w:val="single"/>
        </w:rPr>
        <w:t xml:space="preserve">                            </w:t>
      </w:r>
    </w:p>
    <w:p>
      <w:pPr>
        <w:snapToGrid w:val="0"/>
        <w:spacing w:line="400" w:lineRule="exact"/>
        <w:ind w:firstLine="424" w:firstLineChars="200"/>
        <w:rPr>
          <w:rFonts w:hint="eastAsia" w:ascii="仿宋" w:hAnsi="仿宋" w:cs="仿宋"/>
          <w:color w:val="auto"/>
          <w:highlight w:val="none"/>
        </w:rPr>
      </w:pPr>
      <w:r>
        <w:rPr>
          <w:rFonts w:hint="eastAsia" w:ascii="仿宋" w:hAnsi="仿宋" w:cs="仿宋"/>
          <w:bCs/>
          <w:color w:val="auto"/>
          <w:szCs w:val="21"/>
          <w:highlight w:val="none"/>
        </w:rPr>
        <w:t xml:space="preserve">    履约担保期限：</w:t>
      </w:r>
      <w:r>
        <w:rPr>
          <w:rFonts w:hint="eastAsia" w:ascii="仿宋" w:hAnsi="仿宋" w:cs="仿宋"/>
          <w:bCs/>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bCs/>
          <w:color w:val="auto"/>
          <w:szCs w:val="21"/>
          <w:highlight w:val="none"/>
        </w:rPr>
      </w:pPr>
      <w:r>
        <w:rPr>
          <w:rFonts w:hint="eastAsia" w:ascii="仿宋" w:hAnsi="仿宋" w:cs="仿宋"/>
          <w:bCs/>
          <w:color w:val="auto"/>
          <w:szCs w:val="21"/>
          <w:highlight w:val="none"/>
        </w:rPr>
        <w:t>（4）分期履行要求：</w:t>
      </w:r>
      <w:r>
        <w:rPr>
          <w:rFonts w:hint="eastAsia" w:ascii="仿宋" w:hAnsi="仿宋" w:cs="仿宋"/>
          <w:bCs/>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color w:val="auto"/>
          <w:szCs w:val="21"/>
          <w:highlight w:val="none"/>
          <w:u w:val="single"/>
        </w:rPr>
      </w:pPr>
      <w:r>
        <w:rPr>
          <w:rFonts w:hint="eastAsia" w:ascii="仿宋" w:hAnsi="仿宋" w:cs="仿宋"/>
          <w:bCs/>
          <w:color w:val="auto"/>
          <w:szCs w:val="21"/>
          <w:highlight w:val="none"/>
        </w:rPr>
        <w:t>（5）风险处置措施和替代方案：</w:t>
      </w:r>
      <w:r>
        <w:rPr>
          <w:rFonts w:hint="eastAsia" w:ascii="仿宋" w:hAnsi="仿宋" w:cs="仿宋"/>
          <w:color w:val="auto"/>
          <w:szCs w:val="21"/>
          <w:highlight w:val="none"/>
          <w:u w:val="single"/>
        </w:rPr>
        <w:t xml:space="preserve">                                                               </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合同验收</w:t>
      </w:r>
    </w:p>
    <w:p>
      <w:pPr>
        <w:numPr>
          <w:ilvl w:val="0"/>
          <w:numId w:val="10"/>
        </w:numPr>
        <w:adjustRightInd w:val="0"/>
        <w:snapToGrid w:val="0"/>
        <w:spacing w:line="400" w:lineRule="exact"/>
        <w:ind w:firstLine="424" w:firstLineChars="200"/>
        <w:rPr>
          <w:rFonts w:hint="eastAsia" w:ascii="仿宋" w:hAnsi="仿宋" w:cs="仿宋"/>
          <w:bCs/>
          <w:color w:val="auto"/>
          <w:szCs w:val="21"/>
          <w:highlight w:val="none"/>
        </w:rPr>
      </w:pPr>
      <w:r>
        <w:rPr>
          <w:rFonts w:hint="eastAsia" w:ascii="仿宋" w:hAnsi="仿宋" w:cs="仿宋"/>
          <w:bCs/>
          <w:color w:val="auto"/>
          <w:szCs w:val="21"/>
          <w:highlight w:val="none"/>
        </w:rPr>
        <w:t>验收组织方式：</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自行组织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委托第三方组织</w:t>
      </w:r>
    </w:p>
    <w:p>
      <w:pPr>
        <w:adjustRightInd w:val="0"/>
        <w:snapToGrid w:val="0"/>
        <w:spacing w:line="400" w:lineRule="exact"/>
        <w:rPr>
          <w:rFonts w:hint="eastAsia" w:ascii="仿宋" w:hAnsi="仿宋" w:cs="仿宋"/>
          <w:bCs/>
          <w:color w:val="auto"/>
          <w:szCs w:val="21"/>
          <w:highlight w:val="none"/>
        </w:rPr>
      </w:pPr>
      <w:r>
        <w:rPr>
          <w:rFonts w:hint="eastAsia" w:ascii="仿宋" w:hAnsi="仿宋" w:cs="仿宋"/>
          <w:bCs/>
          <w:color w:val="auto"/>
          <w:szCs w:val="21"/>
          <w:highlight w:val="none"/>
        </w:rPr>
        <w:t xml:space="preserve">         验收主体：</w:t>
      </w:r>
      <w:r>
        <w:rPr>
          <w:rFonts w:hint="eastAsia" w:ascii="仿宋" w:hAnsi="仿宋" w:cs="仿宋"/>
          <w:bCs/>
          <w:color w:val="auto"/>
          <w:szCs w:val="21"/>
          <w:highlight w:val="none"/>
          <w:u w:val="single"/>
        </w:rPr>
        <w:t xml:space="preserve">                  </w:t>
      </w:r>
    </w:p>
    <w:p>
      <w:pPr>
        <w:adjustRightInd w:val="0"/>
        <w:snapToGrid w:val="0"/>
        <w:spacing w:line="400" w:lineRule="exact"/>
        <w:rPr>
          <w:rFonts w:hint="eastAsia" w:ascii="仿宋" w:hAnsi="仿宋" w:cs="仿宋"/>
          <w:bCs/>
          <w:color w:val="auto"/>
          <w:szCs w:val="21"/>
          <w:highlight w:val="none"/>
        </w:rPr>
      </w:pPr>
      <w:r>
        <w:rPr>
          <w:rFonts w:hint="eastAsia" w:ascii="仿宋" w:hAnsi="仿宋" w:cs="仿宋"/>
          <w:bCs/>
          <w:color w:val="auto"/>
          <w:szCs w:val="21"/>
          <w:highlight w:val="none"/>
        </w:rPr>
        <w:t xml:space="preserve">        是否邀请本项目的其他供应商参加验收：</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rPr>
      </w:pPr>
      <w:r>
        <w:rPr>
          <w:rFonts w:hint="eastAsia" w:ascii="仿宋" w:hAnsi="仿宋" w:cs="仿宋"/>
          <w:bCs/>
          <w:color w:val="auto"/>
          <w:szCs w:val="21"/>
          <w:highlight w:val="none"/>
        </w:rPr>
        <w:t>是否邀请专家参加验收：</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rPr>
      </w:pPr>
      <w:r>
        <w:rPr>
          <w:rFonts w:hint="eastAsia" w:ascii="仿宋" w:hAnsi="仿宋" w:cs="仿宋"/>
          <w:bCs/>
          <w:color w:val="auto"/>
          <w:szCs w:val="21"/>
          <w:highlight w:val="none"/>
        </w:rPr>
        <w:t>是否邀请服务对象参加验收：</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rPr>
      </w:pPr>
      <w:r>
        <w:rPr>
          <w:rFonts w:hint="eastAsia" w:ascii="仿宋" w:hAnsi="仿宋" w:cs="仿宋"/>
          <w:bCs/>
          <w:color w:val="auto"/>
          <w:szCs w:val="21"/>
          <w:highlight w:val="none"/>
        </w:rPr>
        <w:t>是否邀请第三方检测机构参加验收：</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是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rPr>
      </w:pPr>
      <w:r>
        <w:rPr>
          <w:rFonts w:hint="eastAsia" w:ascii="仿宋" w:hAnsi="仿宋" w:cs="仿宋"/>
          <w:bCs/>
          <w:color w:val="auto"/>
          <w:szCs w:val="21"/>
          <w:highlight w:val="none"/>
        </w:rPr>
        <w:t>是否进行抽查检测：</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是，抽查比例：</w:t>
      </w:r>
      <w:r>
        <w:rPr>
          <w:rFonts w:hint="eastAsia" w:ascii="仿宋" w:hAnsi="仿宋" w:cs="仿宋"/>
          <w:bCs/>
          <w:color w:val="auto"/>
          <w:szCs w:val="21"/>
          <w:highlight w:val="none"/>
          <w:u w:val="single"/>
        </w:rPr>
        <w:t xml:space="preserve">        </w:t>
      </w:r>
      <w:r>
        <w:rPr>
          <w:rFonts w:hint="eastAsia" w:ascii="仿宋" w:hAnsi="仿宋" w:cs="仿宋"/>
          <w:bCs/>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u w:val="single"/>
        </w:rPr>
      </w:pPr>
      <w:r>
        <w:rPr>
          <w:rFonts w:hint="eastAsia" w:ascii="仿宋" w:hAnsi="仿宋" w:cs="仿宋"/>
          <w:bCs/>
          <w:color w:val="auto"/>
          <w:szCs w:val="21"/>
          <w:highlight w:val="none"/>
        </w:rPr>
        <w:t>是否存在破坏性检测：</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是，</w:t>
      </w:r>
      <w:r>
        <w:rPr>
          <w:rFonts w:hint="eastAsia" w:ascii="仿宋" w:hAnsi="仿宋" w:cs="仿宋"/>
          <w:bCs/>
          <w:color w:val="auto"/>
          <w:szCs w:val="21"/>
          <w:highlight w:val="none"/>
          <w:u w:val="single"/>
        </w:rPr>
        <w:t>（应明确对被破坏的检测产品的处理方式）</w:t>
      </w:r>
    </w:p>
    <w:p>
      <w:pPr>
        <w:adjustRightInd w:val="0"/>
        <w:snapToGrid w:val="0"/>
        <w:spacing w:line="400" w:lineRule="exact"/>
        <w:ind w:firstLine="848" w:firstLineChars="400"/>
        <w:rPr>
          <w:rFonts w:hint="eastAsia" w:ascii="仿宋" w:hAnsi="仿宋" w:cs="仿宋"/>
          <w:bCs/>
          <w:color w:val="auto"/>
          <w:szCs w:val="21"/>
          <w:highlight w:val="none"/>
        </w:rPr>
      </w:pPr>
      <w:r>
        <w:rPr>
          <w:rFonts w:hint="eastAsia" w:ascii="仿宋" w:hAnsi="仿宋" w:cs="仿宋"/>
          <w:bCs/>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否</w:t>
      </w:r>
    </w:p>
    <w:p>
      <w:pPr>
        <w:adjustRightInd w:val="0"/>
        <w:snapToGrid w:val="0"/>
        <w:spacing w:line="400" w:lineRule="exact"/>
        <w:ind w:firstLine="848" w:firstLineChars="400"/>
        <w:rPr>
          <w:rFonts w:hint="eastAsia" w:ascii="仿宋" w:hAnsi="仿宋" w:cs="仿宋"/>
          <w:bCs/>
          <w:color w:val="auto"/>
          <w:szCs w:val="21"/>
          <w:highlight w:val="none"/>
          <w:u w:val="single"/>
        </w:rPr>
      </w:pPr>
      <w:r>
        <w:rPr>
          <w:rFonts w:hint="eastAsia" w:ascii="仿宋" w:hAnsi="仿宋" w:cs="仿宋"/>
          <w:bCs/>
          <w:color w:val="auto"/>
          <w:szCs w:val="21"/>
          <w:highlight w:val="none"/>
        </w:rPr>
        <w:t>验收组织的其他事项：</w:t>
      </w:r>
      <w:r>
        <w:rPr>
          <w:rFonts w:hint="eastAsia" w:ascii="仿宋" w:hAnsi="仿宋" w:cs="仿宋"/>
          <w:bCs/>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bCs/>
          <w:color w:val="auto"/>
          <w:szCs w:val="21"/>
          <w:highlight w:val="none"/>
          <w:u w:val="single"/>
        </w:rPr>
      </w:pPr>
      <w:r>
        <w:rPr>
          <w:rFonts w:hint="eastAsia" w:ascii="仿宋" w:hAnsi="仿宋" w:cs="仿宋"/>
          <w:bCs/>
          <w:color w:val="auto"/>
          <w:szCs w:val="21"/>
          <w:highlight w:val="none"/>
        </w:rPr>
        <w:t>（2）履约验收时间：</w:t>
      </w:r>
      <w:r>
        <w:rPr>
          <w:rFonts w:hint="eastAsia" w:ascii="仿宋" w:hAnsi="仿宋" w:cs="仿宋"/>
          <w:bCs/>
          <w:color w:val="auto"/>
          <w:szCs w:val="21"/>
          <w:highlight w:val="none"/>
          <w:u w:val="single"/>
        </w:rPr>
        <w:t xml:space="preserve">（计划于何时验收/供应商提出验收申请之日起   日内组织验收） </w:t>
      </w:r>
    </w:p>
    <w:p>
      <w:pPr>
        <w:adjustRightInd w:val="0"/>
        <w:snapToGrid w:val="0"/>
        <w:spacing w:line="400" w:lineRule="exact"/>
        <w:ind w:firstLine="424" w:firstLineChars="200"/>
        <w:rPr>
          <w:rFonts w:hint="eastAsia" w:ascii="仿宋" w:hAnsi="仿宋" w:cs="仿宋"/>
          <w:bCs/>
          <w:color w:val="auto"/>
          <w:szCs w:val="21"/>
          <w:highlight w:val="none"/>
        </w:rPr>
      </w:pPr>
      <w:r>
        <w:rPr>
          <w:rFonts w:hint="eastAsia" w:ascii="仿宋" w:hAnsi="仿宋" w:cs="仿宋"/>
          <w:bCs/>
          <w:color w:val="auto"/>
          <w:szCs w:val="21"/>
          <w:highlight w:val="none"/>
        </w:rPr>
        <w:t>（3）履约验收方式：</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 xml:space="preserve">一次性验收         </w:t>
      </w:r>
    </w:p>
    <w:p>
      <w:pPr>
        <w:adjustRightInd w:val="0"/>
        <w:snapToGrid w:val="0"/>
        <w:spacing w:line="400" w:lineRule="exact"/>
        <w:rPr>
          <w:rFonts w:hint="eastAsia" w:ascii="仿宋" w:hAnsi="仿宋" w:cs="仿宋"/>
          <w:bCs/>
          <w:color w:val="auto"/>
          <w:szCs w:val="21"/>
          <w:highlight w:val="none"/>
        </w:rPr>
      </w:pPr>
      <w:r>
        <w:rPr>
          <w:rFonts w:hint="eastAsia" w:ascii="仿宋" w:hAnsi="仿宋" w:cs="仿宋"/>
          <w:bCs/>
          <w:color w:val="auto"/>
          <w:szCs w:val="21"/>
          <w:highlight w:val="none"/>
        </w:rPr>
        <w:t xml:space="preserve">                       </w:t>
      </w:r>
      <w:r>
        <w:rPr>
          <w:rFonts w:hint="eastAsia" w:ascii="仿宋" w:hAnsi="仿宋" w:cs="仿宋"/>
          <w:color w:val="auto"/>
          <w:szCs w:val="21"/>
          <w:highlight w:val="none"/>
        </w:rPr>
        <w:sym w:font="Wingdings" w:char="F0A8"/>
      </w:r>
      <w:r>
        <w:rPr>
          <w:rFonts w:hint="eastAsia" w:ascii="仿宋" w:hAnsi="仿宋" w:cs="仿宋"/>
          <w:bCs/>
          <w:color w:val="auto"/>
          <w:szCs w:val="21"/>
          <w:highlight w:val="none"/>
        </w:rPr>
        <w:t>分期/分项验收：</w:t>
      </w:r>
      <w:r>
        <w:rPr>
          <w:rFonts w:hint="eastAsia" w:ascii="仿宋" w:hAnsi="仿宋" w:cs="仿宋"/>
          <w:bCs/>
          <w:color w:val="auto"/>
          <w:szCs w:val="21"/>
          <w:highlight w:val="none"/>
          <w:u w:val="single"/>
        </w:rPr>
        <w:t xml:space="preserve"> （应明确分期</w:t>
      </w:r>
      <w:r>
        <w:rPr>
          <w:rFonts w:hint="eastAsia" w:ascii="仿宋" w:hAnsi="仿宋" w:cs="仿宋"/>
          <w:bCs/>
          <w:color w:val="auto"/>
          <w:szCs w:val="21"/>
          <w:highlight w:val="none"/>
          <w:u w:val="single"/>
          <w:lang w:val="en"/>
        </w:rPr>
        <w:t>/分项验收的工作安排</w:t>
      </w:r>
      <w:r>
        <w:rPr>
          <w:rFonts w:hint="eastAsia" w:ascii="仿宋" w:hAnsi="仿宋" w:cs="仿宋"/>
          <w:bCs/>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bCs/>
          <w:color w:val="auto"/>
          <w:szCs w:val="21"/>
          <w:highlight w:val="none"/>
        </w:rPr>
      </w:pPr>
      <w:r>
        <w:rPr>
          <w:rFonts w:hint="eastAsia" w:ascii="仿宋" w:hAnsi="仿宋" w:cs="仿宋"/>
          <w:bCs/>
          <w:color w:val="auto"/>
          <w:szCs w:val="21"/>
          <w:highlight w:val="none"/>
        </w:rPr>
        <w:t>（4）履约验收程序：</w:t>
      </w:r>
      <w:r>
        <w:rPr>
          <w:rFonts w:hint="eastAsia" w:ascii="仿宋" w:hAnsi="仿宋" w:cs="仿宋"/>
          <w:bCs/>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bCs/>
          <w:color w:val="auto"/>
          <w:szCs w:val="21"/>
          <w:highlight w:val="none"/>
          <w:u w:val="single"/>
        </w:rPr>
      </w:pPr>
      <w:r>
        <w:rPr>
          <w:rFonts w:hint="eastAsia" w:ascii="仿宋" w:hAnsi="仿宋" w:cs="仿宋"/>
          <w:bCs/>
          <w:color w:val="auto"/>
          <w:szCs w:val="21"/>
          <w:highlight w:val="none"/>
        </w:rPr>
        <w:t>（5）履约验收的内容：</w:t>
      </w:r>
      <w:r>
        <w:rPr>
          <w:rFonts w:hint="eastAsia" w:ascii="仿宋" w:hAnsi="仿宋" w:cs="仿宋"/>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4" w:firstLineChars="200"/>
        <w:rPr>
          <w:rFonts w:hint="eastAsia" w:ascii="仿宋" w:hAnsi="仿宋" w:cs="仿宋"/>
          <w:bCs/>
          <w:color w:val="auto"/>
          <w:szCs w:val="21"/>
          <w:highlight w:val="none"/>
          <w:u w:val="single"/>
        </w:rPr>
      </w:pPr>
      <w:r>
        <w:rPr>
          <w:rFonts w:hint="eastAsia" w:ascii="仿宋" w:hAnsi="仿宋" w:cs="仿宋"/>
          <w:bCs/>
          <w:color w:val="auto"/>
          <w:szCs w:val="21"/>
          <w:highlight w:val="none"/>
        </w:rPr>
        <w:t>（6）履约验收标准：</w:t>
      </w:r>
      <w:r>
        <w:rPr>
          <w:rFonts w:hint="eastAsia" w:ascii="仿宋" w:hAnsi="仿宋" w:cs="仿宋"/>
          <w:bCs/>
          <w:color w:val="auto"/>
          <w:szCs w:val="21"/>
          <w:highlight w:val="none"/>
          <w:u w:val="single"/>
        </w:rPr>
        <w:t xml:space="preserve">                                         </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bCs/>
          <w:color w:val="auto"/>
          <w:kern w:val="0"/>
          <w:szCs w:val="21"/>
          <w:highlight w:val="none"/>
        </w:rPr>
        <w:t>（7）是否以采购活动中供应商提供的样品作为参考：</w:t>
      </w:r>
      <w:r>
        <w:rPr>
          <w:rFonts w:hint="eastAsia" w:ascii="仿宋" w:hAnsi="仿宋" w:cs="仿宋"/>
          <w:color w:val="auto"/>
          <w:kern w:val="0"/>
          <w:szCs w:val="21"/>
          <w:highlight w:val="none"/>
        </w:rPr>
        <w:sym w:font="Wingdings" w:char="F0A8"/>
      </w:r>
      <w:r>
        <w:rPr>
          <w:rFonts w:hint="eastAsia" w:ascii="仿宋" w:hAnsi="仿宋" w:cs="仿宋"/>
          <w:bCs/>
          <w:color w:val="auto"/>
          <w:kern w:val="0"/>
          <w:szCs w:val="21"/>
          <w:highlight w:val="none"/>
        </w:rPr>
        <w:t xml:space="preserve">是  </w:t>
      </w:r>
      <w:r>
        <w:rPr>
          <w:rFonts w:hint="eastAsia" w:ascii="仿宋" w:hAnsi="仿宋" w:cs="仿宋"/>
          <w:color w:val="auto"/>
          <w:kern w:val="0"/>
          <w:szCs w:val="21"/>
          <w:highlight w:val="none"/>
        </w:rPr>
        <w:sym w:font="Wingdings" w:char="F0A8"/>
      </w:r>
      <w:r>
        <w:rPr>
          <w:rFonts w:hint="eastAsia" w:ascii="仿宋" w:hAnsi="仿宋" w:cs="仿宋"/>
          <w:bCs/>
          <w:color w:val="auto"/>
          <w:kern w:val="0"/>
          <w:szCs w:val="21"/>
          <w:highlight w:val="none"/>
        </w:rPr>
        <w:t>否</w:t>
      </w:r>
    </w:p>
    <w:p>
      <w:pPr>
        <w:adjustRightInd w:val="0"/>
        <w:snapToGrid w:val="0"/>
        <w:spacing w:line="400" w:lineRule="exact"/>
        <w:ind w:firstLine="424" w:firstLineChars="200"/>
        <w:rPr>
          <w:rFonts w:hint="eastAsia" w:ascii="仿宋" w:hAnsi="仿宋" w:cs="仿宋"/>
          <w:bCs/>
          <w:color w:val="auto"/>
          <w:szCs w:val="21"/>
          <w:highlight w:val="none"/>
          <w:u w:val="single"/>
        </w:rPr>
      </w:pPr>
      <w:r>
        <w:rPr>
          <w:rFonts w:hint="eastAsia" w:ascii="仿宋" w:hAnsi="仿宋" w:cs="仿宋"/>
          <w:bCs/>
          <w:color w:val="auto"/>
          <w:szCs w:val="21"/>
          <w:highlight w:val="none"/>
        </w:rPr>
        <w:t>（8）履约验收其他事项：</w:t>
      </w:r>
      <w:r>
        <w:rPr>
          <w:rFonts w:hint="eastAsia" w:ascii="仿宋" w:hAnsi="仿宋" w:cs="仿宋"/>
          <w:bCs/>
          <w:color w:val="auto"/>
          <w:szCs w:val="21"/>
          <w:highlight w:val="none"/>
          <w:u w:val="single"/>
        </w:rPr>
        <w:t xml:space="preserve">      （产权过户登记等）          </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组成合同的文件</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本协议书与下列文件一起构成合同文件，如下述文件之间有任何抵触、矛盾或歧义，应按以下顺序解释：</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（1）政府采购合同协议书及其变更、补充协议</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（2）政府采购合同专用条款</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（3）政府采购合同通用条款</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（4）中标（成交）通知书</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（5）投标（响应）文件</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（6）采购文件</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（7）有关技术文件，图纸</w:t>
      </w:r>
    </w:p>
    <w:p>
      <w:pPr>
        <w:widowControl/>
        <w:autoSpaceDE w:val="0"/>
        <w:autoSpaceDN w:val="0"/>
        <w:adjustRightIn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kern w:val="0"/>
          <w:szCs w:val="21"/>
          <w:highlight w:val="none"/>
        </w:rPr>
        <w:t>（8）</w:t>
      </w:r>
      <w:r>
        <w:rPr>
          <w:rFonts w:hint="eastAsia" w:ascii="仿宋" w:hAnsi="仿宋" w:cs="仿宋"/>
          <w:color w:val="auto"/>
          <w:szCs w:val="21"/>
          <w:highlight w:val="none"/>
        </w:rPr>
        <w:t>国家法律、行政法规和规章制度规定或合同约定的作为合同组成部分的其他文件</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合同生效</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本合同自</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生效。</w:t>
      </w:r>
    </w:p>
    <w:p>
      <w:pPr>
        <w:numPr>
          <w:ilvl w:val="0"/>
          <w:numId w:val="8"/>
        </w:numPr>
        <w:adjustRightInd w:val="0"/>
        <w:snapToGrid w:val="0"/>
        <w:spacing w:line="400" w:lineRule="exact"/>
        <w:ind w:firstLine="424" w:firstLineChars="200"/>
        <w:rPr>
          <w:rFonts w:hint="eastAsia" w:ascii="仿宋" w:hAnsi="仿宋" w:cs="仿宋"/>
          <w:b/>
          <w:color w:val="auto"/>
          <w:szCs w:val="21"/>
          <w:highlight w:val="none"/>
        </w:rPr>
      </w:pPr>
      <w:r>
        <w:rPr>
          <w:rFonts w:hint="eastAsia" w:ascii="仿宋" w:hAnsi="仿宋" w:cs="仿宋"/>
          <w:b/>
          <w:color w:val="auto"/>
          <w:szCs w:val="21"/>
          <w:highlight w:val="none"/>
        </w:rPr>
        <w:t>合同份数</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本合同一式</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份，甲方执</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份，乙方执</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份，均具有同等法律效力。</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合同订立时间：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月</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日</w:t>
      </w:r>
    </w:p>
    <w:p>
      <w:pPr>
        <w:adjustRightInd w:val="0"/>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合同订立地点：</w:t>
      </w:r>
      <w:r>
        <w:rPr>
          <w:rFonts w:hint="eastAsia" w:ascii="仿宋" w:hAnsi="仿宋" w:cs="仿宋"/>
          <w:color w:val="auto"/>
          <w:szCs w:val="21"/>
          <w:highlight w:val="none"/>
          <w:u w:val="single"/>
        </w:rPr>
        <w:t xml:space="preserve">                           </w:t>
      </w:r>
    </w:p>
    <w:p>
      <w:pPr>
        <w:adjustRightInd w:val="0"/>
        <w:snapToGrid w:val="0"/>
        <w:spacing w:line="400" w:lineRule="exact"/>
        <w:ind w:firstLine="424" w:firstLineChars="200"/>
        <w:rPr>
          <w:rFonts w:hint="eastAsia" w:ascii="仿宋" w:hAnsi="仿宋" w:cs="仿宋"/>
          <w:color w:val="auto"/>
          <w:highlight w:val="none"/>
        </w:rPr>
      </w:pPr>
      <w:r>
        <w:rPr>
          <w:rFonts w:hint="eastAsia" w:ascii="仿宋" w:hAnsi="仿宋" w:cs="仿宋"/>
          <w:color w:val="auto"/>
          <w:szCs w:val="21"/>
          <w:highlight w:val="none"/>
        </w:rPr>
        <w:t>附件：具体标的及其技术要求和商务要求、联合协议、分包意向协议等。</w:t>
      </w:r>
    </w:p>
    <w:p>
      <w:pPr>
        <w:rPr>
          <w:rFonts w:hint="eastAsia" w:ascii="仿宋" w:hAnsi="仿宋" w:cs="仿宋"/>
          <w:color w:val="auto"/>
          <w:highlight w:val="none"/>
        </w:rPr>
      </w:pPr>
      <w:r>
        <w:rPr>
          <w:rFonts w:hint="eastAsia" w:ascii="仿宋" w:hAnsi="仿宋" w:cs="仿宋"/>
          <w:color w:val="auto"/>
          <w:highlight w:val="none"/>
        </w:rPr>
        <w:br w:type="page"/>
      </w:r>
    </w:p>
    <w:p>
      <w:pPr>
        <w:widowControl/>
        <w:spacing w:after="200" w:line="276" w:lineRule="auto"/>
        <w:ind w:left="720"/>
        <w:contextualSpacing/>
        <w:jc w:val="left"/>
        <w:rPr>
          <w:rFonts w:hint="eastAsia" w:ascii="仿宋" w:hAnsi="仿宋" w:cs="仿宋"/>
          <w:color w:val="auto"/>
          <w:kern w:val="0"/>
          <w:sz w:val="22"/>
          <w:szCs w:val="22"/>
          <w:highlight w:val="none"/>
        </w:rPr>
      </w:pPr>
    </w:p>
    <w:tbl>
      <w:tblPr>
        <w:tblStyle w:val="25"/>
        <w:tblW w:w="839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2410"/>
        <w:gridCol w:w="1977"/>
        <w:gridCol w:w="211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0" w:type="dxa"/>
            <w:gridSpan w:val="2"/>
            <w:tcBorders>
              <w:top w:val="single" w:color="auto" w:sz="4"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highlight w:val="none"/>
              </w:rPr>
            </w:pPr>
            <w:r>
              <w:rPr>
                <w:rFonts w:hint="eastAsia" w:ascii="仿宋" w:hAnsi="仿宋" w:cs="仿宋"/>
                <w:color w:val="auto"/>
                <w:szCs w:val="21"/>
                <w:highlight w:val="none"/>
              </w:rPr>
              <w:t>甲方（采购人、受采购人委托签订合同的单位或采购文件约定的合同甲方）</w:t>
            </w:r>
          </w:p>
        </w:tc>
        <w:tc>
          <w:tcPr>
            <w:tcW w:w="4092" w:type="dxa"/>
            <w:gridSpan w:val="2"/>
            <w:tcBorders>
              <w:top w:val="single" w:color="auto" w:sz="4"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highlight w:val="none"/>
              </w:rPr>
            </w:pPr>
            <w:r>
              <w:rPr>
                <w:rFonts w:hint="eastAsia" w:ascii="仿宋" w:hAnsi="仿宋" w:cs="仿宋"/>
                <w:color w:val="auto"/>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单位名称（公章或合同章）</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单位名称（公章或合同章）</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0" w:type="dxa"/>
            <w:vMerge w:val="restar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法定代表人</w:t>
            </w:r>
          </w:p>
          <w:p>
            <w:pPr>
              <w:adjustRightInd w:val="0"/>
              <w:snapToGrid w:val="0"/>
              <w:spacing w:line="300" w:lineRule="exact"/>
              <w:ind w:firstLine="100" w:firstLineChars="48"/>
              <w:jc w:val="center"/>
              <w:rPr>
                <w:rFonts w:hint="eastAsia" w:ascii="仿宋" w:hAnsi="仿宋" w:cs="仿宋"/>
                <w:color w:val="auto"/>
                <w:szCs w:val="21"/>
                <w:highlight w:val="none"/>
              </w:rPr>
            </w:pPr>
            <w:r>
              <w:rPr>
                <w:rFonts w:hint="eastAsia" w:ascii="仿宋" w:hAnsi="仿宋" w:cs="仿宋"/>
                <w:color w:val="auto"/>
                <w:szCs w:val="21"/>
                <w:highlight w:val="none"/>
              </w:rPr>
              <w:t>或其委托代理人（签章）</w:t>
            </w:r>
          </w:p>
        </w:tc>
        <w:tc>
          <w:tcPr>
            <w:tcW w:w="2410"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法定代表人</w:t>
            </w:r>
          </w:p>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或其委托代理人（签章）</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vMerge w:val="continue"/>
            <w:tcBorders>
              <w:top w:val="single" w:color="auto" w:sz="2" w:space="0"/>
              <w:left w:val="single" w:color="auto" w:sz="4" w:space="0"/>
              <w:bottom w:val="single" w:color="auto" w:sz="2" w:space="0"/>
              <w:right w:val="single" w:color="auto" w:sz="2" w:space="0"/>
            </w:tcBorders>
            <w:vAlign w:val="center"/>
          </w:tcPr>
          <w:p>
            <w:pPr>
              <w:widowControl/>
              <w:jc w:val="left"/>
              <w:rPr>
                <w:rFonts w:hint="eastAsia" w:ascii="仿宋" w:hAnsi="仿宋" w:cs="仿宋"/>
                <w:color w:val="auto"/>
                <w:szCs w:val="21"/>
                <w:highlight w:val="none"/>
              </w:rPr>
            </w:pPr>
          </w:p>
        </w:tc>
        <w:tc>
          <w:tcPr>
            <w:tcW w:w="241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拥有者性别</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住  所</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住  所</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联 系 人</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联 系 人</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联系电话</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联系电话</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通信地址</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通信地址</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邮政编码</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邮政编码</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电子邮箱</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电子邮箱</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统一社会信用代码</w:t>
            </w: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统一社会信用代码</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开户名称</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开户银行</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cs="仿宋"/>
                <w:color w:val="auto"/>
                <w:szCs w:val="21"/>
                <w:highlight w:val="none"/>
              </w:rPr>
            </w:pPr>
            <w:r>
              <w:rPr>
                <w:rFonts w:hint="eastAsia" w:ascii="仿宋" w:hAnsi="仿宋" w:cs="仿宋"/>
                <w:color w:val="auto"/>
                <w:szCs w:val="21"/>
                <w:highlight w:val="none"/>
              </w:rPr>
              <w:t>银行账号</w:t>
            </w:r>
          </w:p>
        </w:tc>
        <w:tc>
          <w:tcPr>
            <w:tcW w:w="211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rFonts w:hint="eastAsia" w:ascii="仿宋" w:hAnsi="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2" w:type="dxa"/>
            <w:gridSpan w:val="4"/>
            <w:tcBorders>
              <w:top w:val="single" w:color="auto" w:sz="2" w:space="0"/>
              <w:left w:val="single" w:color="auto" w:sz="4" w:space="0"/>
              <w:bottom w:val="single" w:color="auto" w:sz="4" w:space="0"/>
              <w:right w:val="single" w:color="auto" w:sz="4" w:space="0"/>
            </w:tcBorders>
            <w:vAlign w:val="center"/>
          </w:tcPr>
          <w:p>
            <w:pPr>
              <w:adjustRightInd w:val="0"/>
              <w:snapToGrid w:val="0"/>
              <w:spacing w:before="159" w:beforeLines="50" w:line="360" w:lineRule="auto"/>
              <w:ind w:firstLine="484" w:firstLineChars="200"/>
              <w:jc w:val="left"/>
              <w:rPr>
                <w:rFonts w:hint="eastAsia" w:ascii="仿宋" w:hAnsi="仿宋" w:cs="仿宋"/>
                <w:color w:val="auto"/>
                <w:spacing w:val="20"/>
                <w:sz w:val="24"/>
                <w:szCs w:val="21"/>
                <w:highlight w:val="none"/>
              </w:rPr>
            </w:pPr>
            <w:r>
              <w:rPr>
                <w:rFonts w:hint="eastAsia" w:ascii="仿宋" w:hAnsi="仿宋" w:cs="仿宋"/>
                <w:color w:val="auto"/>
                <w:sz w:val="24"/>
                <w:szCs w:val="21"/>
                <w:highlight w:val="none"/>
              </w:rPr>
              <w:t>注：涉及联合体或其他合同主体的信息应按上表格式加列。</w:t>
            </w:r>
          </w:p>
        </w:tc>
      </w:tr>
    </w:tbl>
    <w:p>
      <w:pPr>
        <w:keepNext/>
        <w:keepLines/>
        <w:adjustRightInd w:val="0"/>
        <w:snapToGrid w:val="0"/>
        <w:spacing w:before="159" w:beforeLines="50" w:after="140" w:line="412" w:lineRule="auto"/>
        <w:jc w:val="center"/>
        <w:outlineLvl w:val="1"/>
        <w:rPr>
          <w:rFonts w:hint="eastAsia" w:ascii="仿宋" w:hAnsi="仿宋" w:cs="仿宋"/>
          <w:b/>
          <w:color w:val="auto"/>
          <w:sz w:val="28"/>
          <w:szCs w:val="28"/>
          <w:highlight w:val="none"/>
        </w:rPr>
      </w:pPr>
      <w:r>
        <w:rPr>
          <w:rFonts w:hint="eastAsia" w:ascii="仿宋" w:hAnsi="仿宋" w:cs="仿宋"/>
          <w:b/>
          <w:color w:val="auto"/>
          <w:szCs w:val="21"/>
          <w:highlight w:val="none"/>
          <w:u w:val="single"/>
        </w:rPr>
        <w:br w:type="page"/>
      </w:r>
      <w:bookmarkStart w:id="135" w:name="_Toc27624"/>
      <w:r>
        <w:rPr>
          <w:rFonts w:hint="eastAsia" w:ascii="仿宋" w:hAnsi="仿宋" w:cs="仿宋"/>
          <w:color w:val="auto"/>
          <w:sz w:val="28"/>
          <w:szCs w:val="28"/>
          <w:highlight w:val="none"/>
        </w:rPr>
        <w:t>第二节 政府采购合同通用条款</w:t>
      </w:r>
      <w:bookmarkEnd w:id="135"/>
    </w:p>
    <w:p>
      <w:pPr>
        <w:tabs>
          <w:tab w:val="left" w:pos="8820"/>
          <w:tab w:val="left" w:pos="9345"/>
          <w:tab w:val="left" w:pos="9765"/>
        </w:tabs>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color w:val="auto"/>
          <w:sz w:val="24"/>
          <w:highlight w:val="none"/>
        </w:rPr>
        <w:t xml:space="preserve">1. </w:t>
      </w:r>
      <w:r>
        <w:rPr>
          <w:rFonts w:hint="eastAsia" w:ascii="仿宋" w:hAnsi="仿宋" w:cs="仿宋"/>
          <w:b/>
          <w:bCs/>
          <w:color w:val="auto"/>
          <w:sz w:val="24"/>
          <w:highlight w:val="none"/>
        </w:rPr>
        <w:t>定义</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1.1合同当事人</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（3）其他合同主体是指除采购人和供应商以外，</w:t>
      </w:r>
      <w:r>
        <w:rPr>
          <w:rFonts w:hint="eastAsia" w:ascii="仿宋" w:hAnsi="仿宋" w:cs="仿宋"/>
          <w:bCs/>
          <w:color w:val="auto"/>
          <w:szCs w:val="21"/>
          <w:highlight w:val="none"/>
        </w:rPr>
        <w:t>依法参与合同缔结或履行，享有权利、承担义务的合同当事人</w:t>
      </w:r>
      <w:r>
        <w:rPr>
          <w:rFonts w:hint="eastAsia" w:ascii="仿宋" w:hAnsi="仿宋" w:cs="仿宋"/>
          <w:color w:val="auto"/>
          <w:szCs w:val="21"/>
          <w:highlight w:val="none"/>
        </w:rPr>
        <w:t>。</w:t>
      </w:r>
    </w:p>
    <w:p>
      <w:pPr>
        <w:tabs>
          <w:tab w:val="left" w:pos="570"/>
          <w:tab w:val="left" w:pos="9240"/>
          <w:tab w:val="left" w:pos="9555"/>
        </w:tabs>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1.2本合同下列术语应解释为：</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（1）“合同”系指</w:t>
      </w:r>
      <w:r>
        <w:rPr>
          <w:rFonts w:hint="eastAsia" w:ascii="仿宋" w:hAnsi="仿宋" w:cs="仿宋"/>
          <w:bCs/>
          <w:color w:val="auto"/>
          <w:szCs w:val="21"/>
          <w:highlight w:val="none"/>
        </w:rPr>
        <w:t>合同当事人意思表示达成一致的任何协议，包括签署的</w:t>
      </w:r>
      <w:r>
        <w:rPr>
          <w:rFonts w:hint="eastAsia" w:ascii="仿宋" w:hAnsi="仿宋" w:cs="仿宋"/>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tabs>
          <w:tab w:val="left" w:pos="570"/>
          <w:tab w:val="left" w:pos="9240"/>
          <w:tab w:val="left" w:pos="9555"/>
        </w:tabs>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（3）“货物”系指乙方根据本合同规定须向甲方提供的各种形态和种类的物品，包括原材料、设备、产品（包括软件）及相关的其备品备件、工具、手册及</w:t>
      </w:r>
      <w:r>
        <w:rPr>
          <w:rFonts w:hint="eastAsia" w:ascii="仿宋" w:hAnsi="仿宋" w:cs="仿宋"/>
          <w:color w:val="auto"/>
          <w:szCs w:val="21"/>
          <w:highlight w:val="none"/>
          <w:lang w:val="en"/>
        </w:rPr>
        <w:t>其他</w:t>
      </w:r>
      <w:r>
        <w:rPr>
          <w:rFonts w:hint="eastAsia" w:ascii="仿宋" w:hAnsi="仿宋" w:cs="仿宋"/>
          <w:color w:val="auto"/>
          <w:szCs w:val="21"/>
          <w:highlight w:val="none"/>
        </w:rPr>
        <w:t>技术资料和材料等。</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（4）“相关服务”系指根据合同规定，乙方应提供的与货物有关的技术、管理和</w:t>
      </w:r>
      <w:r>
        <w:rPr>
          <w:rFonts w:hint="eastAsia" w:ascii="仿宋" w:hAnsi="仿宋" w:cs="仿宋"/>
          <w:color w:val="auto"/>
          <w:szCs w:val="21"/>
          <w:highlight w:val="none"/>
          <w:lang w:val="en"/>
        </w:rPr>
        <w:t>其他</w:t>
      </w:r>
      <w:r>
        <w:rPr>
          <w:rFonts w:hint="eastAsia" w:ascii="仿宋" w:hAnsi="仿宋" w:cs="仿宋"/>
          <w:color w:val="auto"/>
          <w:szCs w:val="21"/>
          <w:highlight w:val="none"/>
        </w:rPr>
        <w:t>服务，包括但不限于：管理和质量保证、运输、保险、检验、现场准备、安装、集成、调试、培训、维修、废弃处置、技术支持等以及合同中规定乙方应承担的</w:t>
      </w:r>
      <w:r>
        <w:rPr>
          <w:rFonts w:hint="eastAsia" w:ascii="仿宋" w:hAnsi="仿宋" w:cs="仿宋"/>
          <w:color w:val="auto"/>
          <w:szCs w:val="21"/>
          <w:highlight w:val="none"/>
          <w:lang w:val="en"/>
        </w:rPr>
        <w:t>其他</w:t>
      </w:r>
      <w:r>
        <w:rPr>
          <w:rFonts w:hint="eastAsia" w:ascii="仿宋" w:hAnsi="仿宋" w:cs="仿宋"/>
          <w:color w:val="auto"/>
          <w:szCs w:val="21"/>
          <w:highlight w:val="none"/>
        </w:rPr>
        <w:t>义务。</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w:t>
      </w:r>
    </w:p>
    <w:p>
      <w:pPr>
        <w:tabs>
          <w:tab w:val="left" w:pos="570"/>
          <w:tab w:val="left" w:pos="9240"/>
          <w:tab w:val="left" w:pos="9555"/>
        </w:tabs>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（7）其他术语解释，见【</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w:t>
      </w:r>
    </w:p>
    <w:p>
      <w:pPr>
        <w:numPr>
          <w:ilvl w:val="0"/>
          <w:numId w:val="11"/>
        </w:num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color w:val="auto"/>
          <w:sz w:val="24"/>
          <w:highlight w:val="none"/>
        </w:rPr>
        <w:t>合同标的及金额</w:t>
      </w:r>
    </w:p>
    <w:p>
      <w:pPr>
        <w:autoSpaceDE w:val="0"/>
        <w:autoSpaceDN w:val="0"/>
        <w:adjustRightInd w:val="0"/>
        <w:snapToGrid w:val="0"/>
        <w:spacing w:line="400" w:lineRule="exact"/>
        <w:ind w:firstLine="424" w:firstLineChars="200"/>
        <w:jc w:val="left"/>
        <w:rPr>
          <w:rFonts w:hint="eastAsia" w:ascii="仿宋" w:hAnsi="仿宋" w:cs="仿宋"/>
          <w:b/>
          <w:bCs/>
          <w:i/>
          <w:iCs/>
          <w:color w:val="auto"/>
          <w:szCs w:val="21"/>
          <w:highlight w:val="none"/>
        </w:rPr>
      </w:pPr>
      <w:r>
        <w:rPr>
          <w:rFonts w:hint="eastAsia" w:ascii="仿宋" w:hAnsi="仿宋" w:cs="仿宋"/>
          <w:color w:val="auto"/>
          <w:szCs w:val="21"/>
          <w:highlight w:val="none"/>
        </w:rPr>
        <w:t>2.1 合同标的及金额应与中标（成交）结果一致。乙方为履行本合同而发生的所有费用均应包含在合同价款中，甲方不再另行支付</w:t>
      </w:r>
      <w:r>
        <w:rPr>
          <w:rFonts w:hint="eastAsia" w:ascii="仿宋" w:hAnsi="仿宋" w:cs="仿宋"/>
          <w:color w:val="auto"/>
          <w:szCs w:val="21"/>
          <w:highlight w:val="none"/>
          <w:lang w:val="en"/>
        </w:rPr>
        <w:t>其他</w:t>
      </w:r>
      <w:r>
        <w:rPr>
          <w:rFonts w:hint="eastAsia" w:ascii="仿宋" w:hAnsi="仿宋" w:cs="仿宋"/>
          <w:color w:val="auto"/>
          <w:szCs w:val="21"/>
          <w:highlight w:val="none"/>
        </w:rPr>
        <w:t>任何费用。</w:t>
      </w:r>
    </w:p>
    <w:p>
      <w:pPr>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color w:val="auto"/>
          <w:sz w:val="24"/>
          <w:highlight w:val="none"/>
        </w:rPr>
        <w:t>3. 履行合同的时间、地点和方式</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3.1 乙方应当在约定的时间、地点，按照约定方式履行合同。</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4. 甲方的权利和义务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4.3 甲方有权要求乙方对缺陷部分予以修复，并按合同约定享有货物保修及其他合同约定的权利。</w:t>
      </w:r>
    </w:p>
    <w:p>
      <w:pPr>
        <w:snapToGrid w:val="0"/>
        <w:spacing w:line="400" w:lineRule="exact"/>
        <w:ind w:firstLine="424" w:firstLineChars="200"/>
        <w:rPr>
          <w:rFonts w:hint="eastAsia" w:ascii="仿宋" w:hAnsi="仿宋" w:cs="仿宋"/>
          <w:color w:val="auto"/>
          <w:highlight w:val="none"/>
        </w:rPr>
      </w:pPr>
      <w:r>
        <w:rPr>
          <w:rFonts w:hint="eastAsia" w:ascii="仿宋" w:hAnsi="仿宋" w:cs="仿宋"/>
          <w:color w:val="auto"/>
          <w:szCs w:val="21"/>
          <w:highlight w:val="none"/>
        </w:rPr>
        <w:t>4.4 甲方应当按照合同约定及时对交付的货物进行验收，未在</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约定的期限内对乙方履约提出任何异议或者向乙方作出任何说明的，视为验收通过。</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4.6 国家法律法规规定及</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约定应由甲方承担的其他义务和责任。</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5. 乙方的权利和义务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5.1 签署合同后，乙方应确定项目负责人（或项目联系人），负责与本合同有关的事务。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spacing w:line="400" w:lineRule="exact"/>
        <w:ind w:firstLine="425" w:firstLineChars="176"/>
        <w:jc w:val="center"/>
        <w:rPr>
          <w:rFonts w:hint="eastAsia" w:ascii="仿宋" w:hAnsi="仿宋" w:cs="仿宋"/>
          <w:color w:val="auto"/>
          <w:sz w:val="24"/>
          <w:szCs w:val="21"/>
          <w:highlight w:val="none"/>
        </w:rPr>
      </w:pPr>
      <w:r>
        <w:rPr>
          <w:rFonts w:hint="eastAsia" w:ascii="仿宋" w:hAnsi="仿宋" w:cs="仿宋"/>
          <w:color w:val="auto"/>
          <w:sz w:val="24"/>
          <w:szCs w:val="21"/>
          <w:highlight w:val="none"/>
        </w:rPr>
        <w:t>5.3乙方有权根据合同约定向甲方收取合同价款。</w:t>
      </w:r>
    </w:p>
    <w:p>
      <w:pPr>
        <w:spacing w:line="400" w:lineRule="exact"/>
        <w:ind w:firstLine="425" w:firstLineChars="176"/>
        <w:jc w:val="center"/>
        <w:rPr>
          <w:rFonts w:hint="eastAsia" w:ascii="仿宋" w:hAnsi="仿宋" w:cs="仿宋"/>
          <w:color w:val="auto"/>
          <w:sz w:val="24"/>
          <w:szCs w:val="21"/>
          <w:highlight w:val="none"/>
        </w:rPr>
      </w:pPr>
      <w:r>
        <w:rPr>
          <w:rFonts w:hint="eastAsia" w:ascii="仿宋" w:hAnsi="仿宋" w:cs="仿宋"/>
          <w:color w:val="auto"/>
          <w:sz w:val="24"/>
          <w:szCs w:val="21"/>
          <w:highlight w:val="none"/>
        </w:rPr>
        <w:t>5.4国家法律法规规定及</w:t>
      </w:r>
      <w:r>
        <w:rPr>
          <w:rFonts w:hint="eastAsia" w:ascii="仿宋" w:hAnsi="仿宋" w:cs="仿宋"/>
          <w:b/>
          <w:bCs/>
          <w:color w:val="auto"/>
          <w:sz w:val="24"/>
          <w:szCs w:val="21"/>
          <w:highlight w:val="none"/>
        </w:rPr>
        <w:t>【政府采购合同专用条款】</w:t>
      </w:r>
      <w:r>
        <w:rPr>
          <w:rFonts w:hint="eastAsia" w:ascii="仿宋" w:hAnsi="仿宋" w:cs="仿宋"/>
          <w:color w:val="auto"/>
          <w:sz w:val="24"/>
          <w:szCs w:val="21"/>
          <w:highlight w:val="none"/>
        </w:rPr>
        <w:t>约定应由乙方承担的其他义务和责任。</w:t>
      </w:r>
    </w:p>
    <w:p>
      <w:pPr>
        <w:numPr>
          <w:ilvl w:val="0"/>
          <w:numId w:val="12"/>
        </w:num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合同履行</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6.1 甲乙双方应当按照</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约定顺序履行合同义务；如果没有先后顺序的，应当同时履行。</w:t>
      </w:r>
    </w:p>
    <w:p>
      <w:pPr>
        <w:autoSpaceDE w:val="0"/>
        <w:autoSpaceDN w:val="0"/>
        <w:adjustRightInd w:val="0"/>
        <w:snapToGrid w:val="0"/>
        <w:spacing w:line="400" w:lineRule="exact"/>
        <w:ind w:firstLine="424" w:firstLineChars="200"/>
        <w:jc w:val="left"/>
        <w:rPr>
          <w:rFonts w:hint="eastAsia" w:ascii="仿宋" w:hAnsi="仿宋" w:cs="仿宋"/>
          <w:color w:val="auto"/>
          <w:highlight w:val="none"/>
        </w:rPr>
      </w:pPr>
      <w:r>
        <w:rPr>
          <w:rFonts w:hint="eastAsia" w:ascii="仿宋" w:hAnsi="仿宋" w:cs="仿宋"/>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7. 货物包装、运输、保险和交付要求</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7.1 本合同</w:t>
      </w:r>
      <w:r>
        <w:rPr>
          <w:rFonts w:hint="eastAsia" w:ascii="仿宋" w:hAnsi="仿宋" w:cs="仿宋"/>
          <w:bCs/>
          <w:color w:val="auto"/>
          <w:szCs w:val="21"/>
          <w:highlight w:val="none"/>
        </w:rPr>
        <w:t>涉及商品包装、快递包装的，</w:t>
      </w:r>
      <w:r>
        <w:rPr>
          <w:rFonts w:hint="eastAsia" w:ascii="仿宋" w:hAnsi="仿宋" w:cs="仿宋"/>
          <w:color w:val="auto"/>
          <w:szCs w:val="21"/>
          <w:highlight w:val="none"/>
        </w:rPr>
        <w:t>除</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另有约定外，</w:t>
      </w:r>
      <w:r>
        <w:rPr>
          <w:rFonts w:hint="eastAsia" w:ascii="仿宋" w:hAnsi="仿宋" w:cs="仿宋"/>
          <w:color w:val="auto"/>
          <w:szCs w:val="21"/>
          <w:highlight w:val="none"/>
        </w:rPr>
        <w:t>包装应适应远距离运输、防潮、防震、防锈和防野蛮装卸等要求，确保货物安全无损地运抵</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约定的</w:t>
      </w:r>
      <w:r>
        <w:rPr>
          <w:rFonts w:hint="eastAsia" w:ascii="仿宋" w:hAnsi="仿宋" w:cs="仿宋"/>
          <w:color w:val="auto"/>
          <w:szCs w:val="21"/>
          <w:highlight w:val="none"/>
        </w:rPr>
        <w:t>指定现场。</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7.2 除</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另有约定外，</w:t>
      </w:r>
      <w:r>
        <w:rPr>
          <w:rFonts w:hint="eastAsia" w:ascii="仿宋" w:hAnsi="仿宋" w:cs="仿宋"/>
          <w:color w:val="auto"/>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7.3 货物保险要求按</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规定执行</w:t>
      </w:r>
      <w:r>
        <w:rPr>
          <w:rFonts w:hint="eastAsia" w:ascii="仿宋" w:hAnsi="仿宋" w:cs="仿宋"/>
          <w:color w:val="auto"/>
          <w:szCs w:val="21"/>
          <w:highlight w:val="none"/>
        </w:rPr>
        <w:t>。</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7.5 乙方在运输到达之前应提前通知甲方，并提示货物运输装卸的注意事项，甲方配合乙方做好货物的接收工作。</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color w:val="auto"/>
          <w:sz w:val="24"/>
          <w:highlight w:val="none"/>
        </w:rPr>
        <w:t>8. 质量标准和保证</w:t>
      </w:r>
    </w:p>
    <w:p>
      <w:pPr>
        <w:adjustRightInd w:val="0"/>
        <w:snapToGrid w:val="0"/>
        <w:spacing w:line="400" w:lineRule="exact"/>
        <w:ind w:firstLine="424" w:firstLineChars="200"/>
        <w:jc w:val="left"/>
        <w:rPr>
          <w:rFonts w:hint="eastAsia" w:ascii="仿宋" w:hAnsi="仿宋" w:cs="仿宋"/>
          <w:b/>
          <w:color w:val="auto"/>
          <w:szCs w:val="21"/>
          <w:highlight w:val="none"/>
        </w:rPr>
      </w:pPr>
      <w:r>
        <w:rPr>
          <w:rFonts w:hint="eastAsia" w:ascii="仿宋" w:hAnsi="仿宋" w:cs="仿宋"/>
          <w:color w:val="auto"/>
          <w:szCs w:val="21"/>
          <w:highlight w:val="none"/>
        </w:rPr>
        <w:t>8.1 质量标准</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（2）采用中华人民共和国法定计量单位。</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（3）乙方所提供的货物应符合国家有关安全、环保、卫生的规定。</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8.2 保证</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规定或乙方书面承诺（两者以较长的为准）的质量保证期内，本保证保持有效。</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（2）在质量保证期内所发现的缺陷，甲方应尽快以书面形式通知乙方。</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（3）乙方收到通知后，应在</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规定的响应时间内以合理的速度免费维修或更换有缺陷的货物或部件。</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4" w:firstLineChars="200"/>
        <w:jc w:val="left"/>
        <w:rPr>
          <w:rFonts w:hint="eastAsia" w:ascii="仿宋" w:hAnsi="仿宋" w:cs="仿宋"/>
          <w:color w:val="auto"/>
          <w:highlight w:val="none"/>
        </w:rPr>
      </w:pPr>
      <w:r>
        <w:rPr>
          <w:rFonts w:hint="eastAsia" w:ascii="仿宋" w:hAnsi="仿宋" w:cs="仿宋"/>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9. 权利瑕疵担保</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9.1 乙方保证对其出售的货物享有合法的权利。</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 xml:space="preserve">9.2 </w:t>
      </w:r>
      <w:r>
        <w:rPr>
          <w:rFonts w:hint="eastAsia" w:ascii="仿宋" w:hAnsi="仿宋" w:cs="仿宋"/>
          <w:color w:val="auto"/>
          <w:szCs w:val="15"/>
          <w:highlight w:val="none"/>
        </w:rPr>
        <w:t>乙方保证在交付的货物上不存在抵押权等担保物权。</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9.3 如甲方使用上述货物构成对第三人侵权的，则由乙方承担全部责任。</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10. 知识产权保护</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10.1 乙方对其所销售的货物应当享有知识产权或经权利人合法授权，保证没有侵犯任何第三人的知识产权等权利。</w:t>
      </w:r>
      <w:bookmarkStart w:id="136" w:name="_Hlk163047038"/>
      <w:r>
        <w:rPr>
          <w:rFonts w:hint="eastAsia" w:ascii="仿宋" w:hAnsi="仿宋" w:cs="仿宋"/>
          <w:color w:val="auto"/>
          <w:szCs w:val="15"/>
          <w:highlight w:val="none"/>
        </w:rPr>
        <w:t>因违反前述约定对第三人构成侵权的，应当由乙方向第三人承担法律责任；甲方依法向第三人赔偿后，有权向乙方追偿。甲方有其他损失的，乙方应当赔偿</w:t>
      </w:r>
      <w:bookmarkEnd w:id="136"/>
      <w:r>
        <w:rPr>
          <w:rFonts w:hint="eastAsia" w:ascii="仿宋" w:hAnsi="仿宋" w:cs="仿宋"/>
          <w:color w:val="auto"/>
          <w:szCs w:val="21"/>
          <w:highlight w:val="none"/>
        </w:rPr>
        <w:t>。</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11. 保密义务</w:t>
      </w:r>
    </w:p>
    <w:p>
      <w:pPr>
        <w:autoSpaceDE w:val="0"/>
        <w:autoSpaceDN w:val="0"/>
        <w:adjustRightInd w:val="0"/>
        <w:snapToGrid w:val="0"/>
        <w:spacing w:line="400" w:lineRule="exact"/>
        <w:ind w:firstLine="424" w:firstLineChars="200"/>
        <w:jc w:val="left"/>
        <w:rPr>
          <w:rFonts w:hint="eastAsia" w:ascii="仿宋" w:hAnsi="仿宋" w:cs="仿宋"/>
          <w:color w:val="auto"/>
          <w:szCs w:val="15"/>
          <w:highlight w:val="none"/>
        </w:rPr>
      </w:pPr>
      <w:r>
        <w:rPr>
          <w:rFonts w:hint="eastAsia" w:ascii="仿宋" w:hAnsi="仿宋" w:cs="仿宋"/>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cs="仿宋"/>
          <w:b/>
          <w:bCs/>
          <w:color w:val="auto"/>
          <w:szCs w:val="15"/>
          <w:highlight w:val="none"/>
        </w:rPr>
        <w:t>【政府采购合同专用条款】</w:t>
      </w:r>
      <w:r>
        <w:rPr>
          <w:rFonts w:hint="eastAsia" w:ascii="仿宋" w:hAnsi="仿宋" w:cs="仿宋"/>
          <w:color w:val="auto"/>
          <w:szCs w:val="15"/>
          <w:highlight w:val="none"/>
        </w:rPr>
        <w:t>中约定。</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12. 合同价款支付</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12.1 合同价款支付按照国库集中支付制度及财政管理相关规定执行。</w:t>
      </w:r>
    </w:p>
    <w:p>
      <w:pPr>
        <w:keepNext/>
        <w:keepLines/>
        <w:spacing w:before="140" w:after="140" w:line="400" w:lineRule="exact"/>
        <w:ind w:firstLine="424" w:firstLineChars="200"/>
        <w:jc w:val="left"/>
        <w:outlineLvl w:val="1"/>
        <w:rPr>
          <w:rFonts w:hint="eastAsia" w:ascii="仿宋" w:hAnsi="仿宋" w:cs="仿宋"/>
          <w:b/>
          <w:color w:val="auto"/>
          <w:sz w:val="28"/>
          <w:highlight w:val="none"/>
        </w:rPr>
      </w:pPr>
      <w:r>
        <w:rPr>
          <w:rFonts w:hint="eastAsia" w:ascii="仿宋" w:hAnsi="仿宋" w:cs="仿宋"/>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】中约定。</w:t>
      </w:r>
    </w:p>
    <w:p>
      <w:pPr>
        <w:spacing w:line="400" w:lineRule="exact"/>
        <w:rPr>
          <w:rFonts w:hint="eastAsia" w:ascii="仿宋" w:hAnsi="仿宋" w:cs="仿宋"/>
          <w:b/>
          <w:bCs/>
          <w:color w:val="auto"/>
          <w:sz w:val="24"/>
          <w:highlight w:val="none"/>
        </w:rPr>
      </w:pPr>
      <w:r>
        <w:rPr>
          <w:rFonts w:hint="eastAsia" w:ascii="仿宋" w:hAnsi="仿宋" w:cs="仿宋"/>
          <w:b/>
          <w:bCs/>
          <w:color w:val="auto"/>
          <w:sz w:val="24"/>
          <w:highlight w:val="none"/>
        </w:rPr>
        <w:t>13. 履约保证金</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 xml:space="preserve">13.1 </w:t>
      </w:r>
      <w:r>
        <w:rPr>
          <w:rFonts w:hint="eastAsia" w:ascii="仿宋" w:hAnsi="仿宋" w:cs="仿宋"/>
          <w:color w:val="auto"/>
          <w:szCs w:val="15"/>
          <w:highlight w:val="none"/>
        </w:rPr>
        <w:t>乙方应当以支票、汇票、本票或者金融机构、担保机构出具的保函等非现金形式提交。</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13.2 如果乙方出现</w:t>
      </w:r>
      <w:r>
        <w:rPr>
          <w:rFonts w:hint="eastAsia" w:ascii="仿宋" w:hAnsi="仿宋" w:cs="仿宋"/>
          <w:b/>
          <w:bCs/>
          <w:color w:val="auto"/>
          <w:szCs w:val="15"/>
          <w:highlight w:val="none"/>
        </w:rPr>
        <w:t>【政府采购合同专用条款】</w:t>
      </w:r>
      <w:r>
        <w:rPr>
          <w:rFonts w:hint="eastAsia" w:ascii="仿宋" w:hAnsi="仿宋" w:cs="仿宋"/>
          <w:color w:val="auto"/>
          <w:szCs w:val="15"/>
          <w:highlight w:val="none"/>
        </w:rPr>
        <w:t>约定情形的</w:t>
      </w:r>
      <w:r>
        <w:rPr>
          <w:rFonts w:hint="eastAsia" w:ascii="仿宋" w:hAnsi="仿宋" w:cs="仿宋"/>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hint="eastAsia" w:ascii="仿宋" w:hAnsi="仿宋" w:cs="仿宋"/>
          <w:color w:val="auto"/>
          <w:highlight w:val="none"/>
        </w:rPr>
      </w:pPr>
      <w:r>
        <w:rPr>
          <w:rFonts w:hint="eastAsia" w:ascii="仿宋" w:hAnsi="仿宋" w:cs="仿宋"/>
          <w:color w:val="auto"/>
          <w:szCs w:val="21"/>
          <w:highlight w:val="none"/>
        </w:rPr>
        <w:t>13.3 甲方在项目通过验收后按照</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规定的时间内将履约保证金退还乙方；逾期退还的，乙方可要求甲方支付违约金，违约金按照</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规定支付。</w:t>
      </w:r>
    </w:p>
    <w:p>
      <w:pPr>
        <w:autoSpaceDE w:val="0"/>
        <w:autoSpaceDN w:val="0"/>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bCs/>
          <w:color w:val="auto"/>
          <w:sz w:val="24"/>
          <w:highlight w:val="none"/>
        </w:rPr>
        <w:t xml:space="preserve">14. </w:t>
      </w:r>
      <w:r>
        <w:rPr>
          <w:rFonts w:hint="eastAsia" w:ascii="仿宋" w:hAnsi="仿宋" w:cs="仿宋"/>
          <w:b/>
          <w:color w:val="auto"/>
          <w:sz w:val="24"/>
          <w:highlight w:val="none"/>
        </w:rPr>
        <w:t>售后服务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（1）货物的现场移动、安装、调试、启动监督及技术支持；</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（2）提供货物组装和维修所需的专用工具和辅助材料；</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（3）在</w:t>
      </w:r>
      <w:r>
        <w:rPr>
          <w:rFonts w:hint="eastAsia" w:ascii="仿宋" w:hAnsi="仿宋" w:cs="仿宋"/>
          <w:b/>
          <w:bCs/>
          <w:color w:val="auto"/>
          <w:szCs w:val="15"/>
          <w:highlight w:val="none"/>
        </w:rPr>
        <w:t>【政府采购合同专用条款】</w:t>
      </w:r>
      <w:r>
        <w:rPr>
          <w:rFonts w:hint="eastAsia" w:ascii="仿宋" w:hAnsi="仿宋" w:cs="仿宋"/>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（4）在制造商所在地或指定现场就货物的安装、启动、运营、维护、废弃处置等对甲方操作人员进行培训</w:t>
      </w:r>
      <w:r>
        <w:rPr>
          <w:rFonts w:hint="eastAsia" w:ascii="仿宋" w:hAnsi="仿宋" w:cs="仿宋"/>
          <w:color w:val="auto"/>
          <w:szCs w:val="15"/>
          <w:highlight w:val="none"/>
        </w:rPr>
        <w:t>；</w:t>
      </w:r>
    </w:p>
    <w:p>
      <w:pPr>
        <w:widowControl/>
        <w:autoSpaceDE w:val="0"/>
        <w:autoSpaceDN w:val="0"/>
        <w:adjustRightInd w:val="0"/>
        <w:spacing w:line="400" w:lineRule="exact"/>
        <w:ind w:firstLine="424"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（5）依照法律、行政法规的规定或者按照</w:t>
      </w:r>
      <w:r>
        <w:rPr>
          <w:rFonts w:hint="eastAsia" w:ascii="仿宋" w:hAnsi="仿宋" w:cs="仿宋"/>
          <w:b/>
          <w:bCs/>
          <w:color w:val="auto"/>
          <w:kern w:val="0"/>
          <w:szCs w:val="21"/>
          <w:highlight w:val="none"/>
        </w:rPr>
        <w:t>【政府采购合同专用条款】</w:t>
      </w:r>
      <w:r>
        <w:rPr>
          <w:rFonts w:hint="eastAsia" w:ascii="仿宋" w:hAnsi="仿宋" w:cs="仿宋"/>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（6）</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规定由乙方提供的其他服务。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14.2 乙方提供的售后服务的费用已包含在合同价款中，甲方不再另行支付。</w:t>
      </w:r>
    </w:p>
    <w:p>
      <w:pPr>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15. 违约责任</w:t>
      </w:r>
    </w:p>
    <w:p>
      <w:pPr>
        <w:adjustRightInd w:val="0"/>
        <w:snapToGrid w:val="0"/>
        <w:spacing w:line="400" w:lineRule="exact"/>
        <w:ind w:firstLine="424" w:firstLineChars="200"/>
        <w:jc w:val="left"/>
        <w:rPr>
          <w:rFonts w:hint="eastAsia" w:ascii="仿宋" w:hAnsi="仿宋" w:cs="仿宋"/>
          <w:bCs/>
          <w:color w:val="auto"/>
          <w:szCs w:val="21"/>
          <w:highlight w:val="none"/>
        </w:rPr>
      </w:pPr>
      <w:r>
        <w:rPr>
          <w:rFonts w:hint="eastAsia" w:ascii="仿宋" w:hAnsi="仿宋" w:cs="仿宋"/>
          <w:bCs/>
          <w:color w:val="auto"/>
          <w:szCs w:val="21"/>
          <w:highlight w:val="none"/>
        </w:rPr>
        <w:t>15.1质量瑕疵的违约责任</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乙方提供的产品不符合合同约定的质量标准或存在产品质量缺陷，甲方有权要求乙方根据</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要求</w:t>
      </w:r>
      <w:r>
        <w:rPr>
          <w:rFonts w:hint="eastAsia" w:ascii="仿宋" w:hAnsi="仿宋" w:cs="仿宋"/>
          <w:color w:val="auto"/>
          <w:szCs w:val="21"/>
          <w:highlight w:val="none"/>
        </w:rPr>
        <w:t>及时修理、重作、更换，并承担由此给甲方造成的损失。</w:t>
      </w:r>
    </w:p>
    <w:p>
      <w:pPr>
        <w:autoSpaceDE w:val="0"/>
        <w:autoSpaceDN w:val="0"/>
        <w:adjustRightInd w:val="0"/>
        <w:snapToGrid w:val="0"/>
        <w:spacing w:line="400" w:lineRule="exact"/>
        <w:ind w:firstLine="424" w:firstLineChars="200"/>
        <w:jc w:val="left"/>
        <w:rPr>
          <w:rFonts w:hint="eastAsia" w:ascii="仿宋" w:hAnsi="仿宋" w:cs="仿宋"/>
          <w:bCs/>
          <w:color w:val="auto"/>
          <w:szCs w:val="21"/>
          <w:highlight w:val="none"/>
        </w:rPr>
      </w:pPr>
      <w:r>
        <w:rPr>
          <w:rFonts w:hint="eastAsia" w:ascii="仿宋" w:hAnsi="仿宋" w:cs="仿宋"/>
          <w:bCs/>
          <w:color w:val="auto"/>
          <w:szCs w:val="21"/>
          <w:highlight w:val="none"/>
        </w:rPr>
        <w:t>15.2 迟延交货的违约责任</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（2）如果乙方没有按照合同规定的时间交货和提供相关服务，甲方有权从货款中扣除误期赔偿费而不影响合同项下的其他补救方法，赔偿费按</w:t>
      </w:r>
      <w:r>
        <w:rPr>
          <w:rFonts w:hint="eastAsia" w:ascii="仿宋" w:hAnsi="仿宋" w:cs="仿宋"/>
          <w:b/>
          <w:color w:val="auto"/>
          <w:szCs w:val="21"/>
          <w:highlight w:val="none"/>
        </w:rPr>
        <w:t>【政府采购合同专用条款】</w:t>
      </w:r>
      <w:r>
        <w:rPr>
          <w:rFonts w:hint="eastAsia" w:ascii="仿宋" w:hAnsi="仿宋" w:cs="仿宋"/>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15.3 迟延支付的违约责任</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甲方存在迟延支付乙方合同款项的，应当承担</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规定的逾期付款利息。</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bCs/>
          <w:color w:val="auto"/>
          <w:szCs w:val="21"/>
          <w:highlight w:val="none"/>
        </w:rPr>
        <w:t>15.4其他违约责任根据项目实际需要按</w:t>
      </w:r>
      <w:r>
        <w:rPr>
          <w:rFonts w:hint="eastAsia" w:ascii="仿宋" w:hAnsi="仿宋" w:cs="仿宋"/>
          <w:b/>
          <w:bCs/>
          <w:color w:val="auto"/>
          <w:szCs w:val="21"/>
          <w:highlight w:val="none"/>
        </w:rPr>
        <w:t>【政府采购合同专用条款】</w:t>
      </w:r>
      <w:r>
        <w:rPr>
          <w:rFonts w:hint="eastAsia" w:ascii="仿宋" w:hAnsi="仿宋" w:cs="仿宋"/>
          <w:color w:val="auto"/>
          <w:szCs w:val="21"/>
          <w:highlight w:val="none"/>
        </w:rPr>
        <w:t>规定执行。</w:t>
      </w:r>
    </w:p>
    <w:p>
      <w:pPr>
        <w:numPr>
          <w:ilvl w:val="0"/>
          <w:numId w:val="13"/>
        </w:numPr>
        <w:autoSpaceDE w:val="0"/>
        <w:autoSpaceDN w:val="0"/>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color w:val="auto"/>
          <w:sz w:val="24"/>
          <w:highlight w:val="none"/>
        </w:rPr>
        <w:t>合同变更、中止与终止</w:t>
      </w:r>
    </w:p>
    <w:p>
      <w:pPr>
        <w:adjustRightInd w:val="0"/>
        <w:snapToGrid w:val="0"/>
        <w:spacing w:line="400" w:lineRule="exact"/>
        <w:jc w:val="left"/>
        <w:rPr>
          <w:rFonts w:hint="eastAsia" w:ascii="仿宋" w:hAnsi="仿宋" w:cs="仿宋"/>
          <w:color w:val="auto"/>
          <w:szCs w:val="21"/>
          <w:highlight w:val="none"/>
        </w:rPr>
      </w:pPr>
      <w:r>
        <w:rPr>
          <w:rFonts w:hint="eastAsia" w:ascii="仿宋" w:hAnsi="仿宋" w:cs="仿宋"/>
          <w:color w:val="auto"/>
          <w:szCs w:val="21"/>
          <w:highlight w:val="none"/>
        </w:rPr>
        <w:t xml:space="preserve">    16.1合同的变更</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16.2合同的中止</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4" w:firstLineChars="200"/>
        <w:jc w:val="left"/>
        <w:rPr>
          <w:rFonts w:hint="eastAsia" w:ascii="仿宋" w:hAnsi="仿宋" w:cs="仿宋"/>
          <w:color w:val="auto"/>
          <w:highlight w:val="none"/>
        </w:rPr>
      </w:pPr>
      <w:r>
        <w:rPr>
          <w:rFonts w:hint="eastAsia" w:ascii="仿宋" w:hAnsi="仿宋" w:cs="仿宋"/>
          <w:color w:val="auto"/>
          <w:szCs w:val="21"/>
          <w:highlight w:val="none"/>
        </w:rPr>
        <w:t>（4）甲方不得以行政区划调整、政府换届、机构或者职能调整以及相关责任人更替为由中止合同。</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16.3合同的终止</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（1）合同因有效期限届满而终止；</w:t>
      </w:r>
    </w:p>
    <w:p>
      <w:pPr>
        <w:snapToGrid w:val="0"/>
        <w:spacing w:line="400" w:lineRule="exact"/>
        <w:ind w:firstLine="424" w:firstLineChars="200"/>
        <w:rPr>
          <w:rFonts w:hint="eastAsia" w:ascii="仿宋" w:hAnsi="仿宋" w:cs="仿宋"/>
          <w:color w:val="auto"/>
          <w:szCs w:val="21"/>
          <w:highlight w:val="none"/>
        </w:rPr>
      </w:pPr>
      <w:r>
        <w:rPr>
          <w:rFonts w:hint="eastAsia" w:ascii="仿宋" w:hAnsi="仿宋" w:cs="仿宋"/>
          <w:color w:val="auto"/>
          <w:szCs w:val="21"/>
          <w:highlight w:val="none"/>
        </w:rPr>
        <w:t>（2）乙方未按合同约定履行，构成根本性违约的，甲方有权终止合同，并追究乙方的违约责任。</w:t>
      </w:r>
    </w:p>
    <w:p>
      <w:pPr>
        <w:widowControl/>
        <w:autoSpaceDE w:val="0"/>
        <w:autoSpaceDN w:val="0"/>
        <w:adjustRightInd w:val="0"/>
        <w:spacing w:line="400" w:lineRule="exact"/>
        <w:ind w:firstLine="444" w:firstLineChars="200"/>
        <w:jc w:val="left"/>
        <w:rPr>
          <w:rFonts w:hint="eastAsia" w:ascii="仿宋" w:hAnsi="仿宋" w:cs="仿宋"/>
          <w:color w:val="auto"/>
          <w:kern w:val="0"/>
          <w:sz w:val="22"/>
          <w:szCs w:val="21"/>
          <w:highlight w:val="none"/>
        </w:rPr>
      </w:pPr>
      <w:r>
        <w:rPr>
          <w:rFonts w:hint="eastAsia" w:ascii="仿宋" w:hAnsi="仿宋" w:cs="仿宋"/>
          <w:color w:val="auto"/>
          <w:kern w:val="0"/>
          <w:sz w:val="22"/>
          <w:szCs w:val="21"/>
          <w:highlight w:val="none"/>
        </w:rPr>
        <w:t xml:space="preserve">16.4 </w:t>
      </w:r>
      <w:r>
        <w:rPr>
          <w:rFonts w:hint="eastAsia" w:ascii="仿宋" w:hAnsi="仿宋" w:cs="仿宋"/>
          <w:color w:val="auto"/>
          <w:szCs w:val="21"/>
          <w:highlight w:val="none"/>
        </w:rPr>
        <w:t>涉及国家利益、社会公共利益的情形</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17. 合同分包</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18. 不可抗力</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18.1 不可抗力是指合同双方不能预见、不能避免且不能克服的客观情况。</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19. 解决争议的方法</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19.2 选择仲裁的，应在</w:t>
      </w:r>
      <w:r>
        <w:rPr>
          <w:rFonts w:hint="eastAsia" w:ascii="仿宋" w:hAnsi="仿宋" w:cs="仿宋"/>
          <w:b/>
          <w:bCs/>
          <w:color w:val="auto"/>
          <w:kern w:val="0"/>
          <w:szCs w:val="21"/>
          <w:highlight w:val="none"/>
        </w:rPr>
        <w:t>【政府采购合同专用条款】</w:t>
      </w:r>
      <w:r>
        <w:rPr>
          <w:rFonts w:hint="eastAsia" w:ascii="仿宋" w:hAnsi="仿宋" w:cs="仿宋"/>
          <w:color w:val="auto"/>
          <w:kern w:val="0"/>
          <w:szCs w:val="21"/>
          <w:highlight w:val="none"/>
        </w:rPr>
        <w:t>中明确仲裁机构及仲裁地；通过诉讼方式解决的，可以在</w:t>
      </w:r>
      <w:r>
        <w:rPr>
          <w:rFonts w:hint="eastAsia" w:ascii="仿宋" w:hAnsi="仿宋" w:cs="仿宋"/>
          <w:b/>
          <w:bCs/>
          <w:color w:val="auto"/>
          <w:kern w:val="0"/>
          <w:szCs w:val="21"/>
          <w:highlight w:val="none"/>
        </w:rPr>
        <w:t>【政府采购合同专用条款】</w:t>
      </w:r>
      <w:r>
        <w:rPr>
          <w:rFonts w:hint="eastAsia" w:ascii="仿宋" w:hAnsi="仿宋" w:cs="仿宋"/>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仿宋" w:hAnsi="仿宋" w:cs="仿宋"/>
          <w:color w:val="auto"/>
          <w:sz w:val="24"/>
          <w:highlight w:val="none"/>
        </w:rPr>
      </w:pPr>
      <w:r>
        <w:rPr>
          <w:rFonts w:hint="eastAsia" w:ascii="仿宋" w:hAnsi="仿宋" w:cs="仿宋"/>
          <w:b/>
          <w:color w:val="auto"/>
          <w:sz w:val="24"/>
          <w:highlight w:val="none"/>
        </w:rPr>
        <w:t>20. 政府采购政策</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 xml:space="preserve">20.1 </w:t>
      </w:r>
      <w:r>
        <w:rPr>
          <w:rFonts w:hint="eastAsia" w:ascii="仿宋" w:hAnsi="仿宋" w:cs="仿宋"/>
          <w:color w:val="auto"/>
          <w:highlight w:val="none"/>
          <w:lang w:val="en-GB"/>
        </w:rPr>
        <w:t>本合同应当按照规定执行政府采购政策。</w:t>
      </w:r>
    </w:p>
    <w:p>
      <w:pPr>
        <w:autoSpaceDE w:val="0"/>
        <w:autoSpaceDN w:val="0"/>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20.2 本合同依法执行政府采购政策的方式和内容，属于合同履约验收的范围。</w:t>
      </w:r>
      <w:r>
        <w:rPr>
          <w:rFonts w:hint="eastAsia" w:ascii="仿宋" w:hAnsi="仿宋" w:cs="仿宋"/>
          <w:color w:val="auto"/>
          <w:highlight w:val="none"/>
        </w:rPr>
        <w:t>甲乙双方</w:t>
      </w:r>
      <w:r>
        <w:rPr>
          <w:rFonts w:hint="eastAsia" w:ascii="仿宋" w:hAnsi="仿宋" w:cs="仿宋"/>
          <w:color w:val="auto"/>
          <w:highlight w:val="none"/>
          <w:lang w:val="en-GB"/>
        </w:rPr>
        <w:t>未按规定要求执行政府采购政策造成损失的</w:t>
      </w:r>
      <w:r>
        <w:rPr>
          <w:rFonts w:hint="eastAsia" w:ascii="仿宋" w:hAnsi="仿宋" w:cs="仿宋"/>
          <w:color w:val="auto"/>
          <w:szCs w:val="21"/>
          <w:highlight w:val="none"/>
        </w:rPr>
        <w:t>，有过错的一方应当承担赔偿责任，双方都有过错的，各自承担相应的责任。</w:t>
      </w:r>
    </w:p>
    <w:p>
      <w:pPr>
        <w:spacing w:line="400" w:lineRule="exact"/>
        <w:ind w:firstLine="484" w:firstLineChars="200"/>
        <w:jc w:val="center"/>
        <w:rPr>
          <w:rFonts w:hint="eastAsia" w:ascii="仿宋" w:hAnsi="仿宋" w:cs="仿宋"/>
          <w:color w:val="auto"/>
          <w:sz w:val="24"/>
          <w:highlight w:val="none"/>
        </w:rPr>
      </w:pPr>
      <w:r>
        <w:rPr>
          <w:rFonts w:hint="eastAsia" w:ascii="仿宋" w:hAnsi="仿宋" w:cs="仿宋"/>
          <w:color w:val="auto"/>
          <w:sz w:val="24"/>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color w:val="auto"/>
          <w:sz w:val="24"/>
          <w:highlight w:val="none"/>
        </w:rPr>
        <w:t>21. 法律适用</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21.1 本合同的订立、生效、解释、履行及与本合同有关的争议解决，均适用法律、行政法规。</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hint="eastAsia" w:ascii="仿宋" w:hAnsi="仿宋" w:cs="仿宋"/>
          <w:b/>
          <w:color w:val="auto"/>
          <w:sz w:val="24"/>
          <w:highlight w:val="none"/>
        </w:rPr>
      </w:pPr>
      <w:r>
        <w:rPr>
          <w:rFonts w:hint="eastAsia" w:ascii="仿宋" w:hAnsi="仿宋" w:cs="仿宋"/>
          <w:b/>
          <w:color w:val="auto"/>
          <w:sz w:val="24"/>
          <w:highlight w:val="none"/>
        </w:rPr>
        <w:t>22. 通知</w:t>
      </w:r>
    </w:p>
    <w:p>
      <w:pPr>
        <w:widowControl/>
        <w:autoSpaceDE w:val="0"/>
        <w:autoSpaceDN w:val="0"/>
        <w:adjustRightInd w:val="0"/>
        <w:spacing w:line="400" w:lineRule="exact"/>
        <w:ind w:firstLine="424"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0" w:lineRule="exact"/>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4" w:firstLineChars="200"/>
        <w:jc w:val="left"/>
        <w:rPr>
          <w:rFonts w:hint="eastAsia" w:ascii="仿宋" w:hAnsi="仿宋" w:cs="仿宋"/>
          <w:color w:val="auto"/>
          <w:szCs w:val="21"/>
          <w:highlight w:val="none"/>
        </w:rPr>
      </w:pPr>
      <w:r>
        <w:rPr>
          <w:rFonts w:hint="eastAsia" w:ascii="仿宋" w:hAnsi="仿宋" w:cs="仿宋"/>
          <w:color w:val="auto"/>
          <w:szCs w:val="21"/>
          <w:highlight w:val="none"/>
        </w:rPr>
        <w:t>22.4通知以送达之日或通知书中规定的生效之日起生效，两者中以较迟之日为准。</w:t>
      </w:r>
    </w:p>
    <w:p>
      <w:pPr>
        <w:numPr>
          <w:ilvl w:val="0"/>
          <w:numId w:val="14"/>
        </w:numPr>
        <w:adjustRightInd w:val="0"/>
        <w:snapToGrid w:val="0"/>
        <w:spacing w:line="400" w:lineRule="exact"/>
        <w:jc w:val="left"/>
        <w:rPr>
          <w:rFonts w:hint="eastAsia" w:ascii="仿宋" w:hAnsi="仿宋" w:cs="仿宋"/>
          <w:b/>
          <w:bCs/>
          <w:color w:val="auto"/>
          <w:sz w:val="24"/>
          <w:highlight w:val="none"/>
        </w:rPr>
      </w:pPr>
      <w:r>
        <w:rPr>
          <w:rFonts w:hint="eastAsia" w:ascii="仿宋" w:hAnsi="仿宋" w:cs="仿宋"/>
          <w:b/>
          <w:bCs/>
          <w:color w:val="auto"/>
          <w:sz w:val="24"/>
          <w:highlight w:val="none"/>
        </w:rPr>
        <w:t>合同未尽事项</w:t>
      </w:r>
    </w:p>
    <w:p>
      <w:pPr>
        <w:adjustRightInd w:val="0"/>
        <w:snapToGrid w:val="0"/>
        <w:spacing w:line="400" w:lineRule="exact"/>
        <w:ind w:firstLine="424" w:firstLineChars="200"/>
        <w:jc w:val="left"/>
        <w:rPr>
          <w:rFonts w:hint="eastAsia" w:ascii="仿宋" w:hAnsi="仿宋" w:cs="仿宋"/>
          <w:bCs/>
          <w:color w:val="auto"/>
          <w:szCs w:val="21"/>
          <w:highlight w:val="none"/>
        </w:rPr>
      </w:pPr>
      <w:r>
        <w:rPr>
          <w:rFonts w:hint="eastAsia" w:ascii="仿宋" w:hAnsi="仿宋" w:cs="仿宋"/>
          <w:bCs/>
          <w:color w:val="auto"/>
          <w:szCs w:val="21"/>
          <w:highlight w:val="none"/>
        </w:rPr>
        <w:t>23.1合同未尽事项见</w:t>
      </w:r>
      <w:r>
        <w:rPr>
          <w:rFonts w:hint="eastAsia" w:ascii="仿宋" w:hAnsi="仿宋" w:cs="仿宋"/>
          <w:b/>
          <w:color w:val="auto"/>
          <w:szCs w:val="21"/>
          <w:highlight w:val="none"/>
        </w:rPr>
        <w:t>【政府采购合同专用条款】</w:t>
      </w:r>
      <w:r>
        <w:rPr>
          <w:rFonts w:hint="eastAsia" w:ascii="仿宋" w:hAnsi="仿宋" w:cs="仿宋"/>
          <w:bCs/>
          <w:color w:val="auto"/>
          <w:szCs w:val="21"/>
          <w:highlight w:val="none"/>
        </w:rPr>
        <w:t>。</w:t>
      </w:r>
    </w:p>
    <w:p>
      <w:pPr>
        <w:adjustRightInd w:val="0"/>
        <w:snapToGrid w:val="0"/>
        <w:spacing w:line="400" w:lineRule="exact"/>
        <w:jc w:val="left"/>
        <w:rPr>
          <w:rFonts w:hint="eastAsia" w:ascii="仿宋" w:hAnsi="仿宋" w:cs="仿宋"/>
          <w:color w:val="auto"/>
          <w:sz w:val="28"/>
          <w:szCs w:val="28"/>
          <w:highlight w:val="none"/>
        </w:rPr>
      </w:pPr>
      <w:r>
        <w:rPr>
          <w:rFonts w:hint="eastAsia" w:ascii="仿宋" w:hAnsi="仿宋" w:cs="仿宋"/>
          <w:bCs/>
          <w:color w:val="auto"/>
          <w:szCs w:val="21"/>
          <w:highlight w:val="none"/>
        </w:rPr>
        <w:t xml:space="preserve">    23.2 合同附件与合同正文具有同等的法律效力。</w:t>
      </w:r>
      <w:bookmarkStart w:id="137" w:name="_Toc20313"/>
    </w:p>
    <w:p>
      <w:pPr>
        <w:adjustRightInd w:val="0"/>
        <w:snapToGrid w:val="0"/>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br w:type="page"/>
      </w:r>
    </w:p>
    <w:p>
      <w:pPr>
        <w:keepNext/>
        <w:keepLines/>
        <w:adjustRightInd w:val="0"/>
        <w:snapToGrid w:val="0"/>
        <w:spacing w:before="140" w:after="140" w:line="412" w:lineRule="auto"/>
        <w:jc w:val="center"/>
        <w:outlineLvl w:val="1"/>
        <w:rPr>
          <w:rFonts w:hint="eastAsia" w:ascii="仿宋" w:hAnsi="仿宋" w:cs="仿宋"/>
          <w:color w:val="auto"/>
          <w:sz w:val="28"/>
          <w:szCs w:val="28"/>
          <w:highlight w:val="none"/>
        </w:rPr>
      </w:pPr>
      <w:r>
        <w:rPr>
          <w:rFonts w:hint="eastAsia" w:ascii="仿宋" w:hAnsi="仿宋" w:cs="仿宋"/>
          <w:color w:val="auto"/>
          <w:sz w:val="28"/>
          <w:szCs w:val="28"/>
          <w:highlight w:val="none"/>
        </w:rPr>
        <w:t>第三节 政府采购合同专用条款</w:t>
      </w:r>
      <w:bookmarkEnd w:id="137"/>
    </w:p>
    <w:tbl>
      <w:tblPr>
        <w:tblStyle w:val="25"/>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联合体具体要求</w:t>
            </w:r>
          </w:p>
        </w:tc>
        <w:tc>
          <w:tcPr>
            <w:tcW w:w="5171" w:type="dxa"/>
            <w:tcBorders>
              <w:top w:val="double" w:color="auto" w:sz="4"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其他术语解释</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履约验收中甲方提出异议或作出说明的期限</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约定甲方承担的其他义务和责任</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snapToGrid w:val="0"/>
              <w:jc w:val="center"/>
              <w:rPr>
                <w:rFonts w:hint="eastAsia" w:ascii="仿宋" w:hAnsi="仿宋" w:cs="仿宋"/>
                <w:color w:val="auto"/>
                <w:highlight w:val="none"/>
              </w:rPr>
            </w:pPr>
            <w:r>
              <w:rPr>
                <w:rFonts w:hint="eastAsia" w:ascii="仿宋" w:hAnsi="仿宋" w:cs="仿宋"/>
                <w:color w:val="auto"/>
                <w:szCs w:val="21"/>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约定乙方承担的其他义务和责任</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履行合同义务的顺序</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包装特殊要求</w:t>
            </w:r>
          </w:p>
        </w:tc>
        <w:tc>
          <w:tcPr>
            <w:tcW w:w="5171"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仿宋" w:hAnsi="仿宋" w:cs="仿宋"/>
                <w:color w:val="auto"/>
                <w:szCs w:val="21"/>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指定现场</w:t>
            </w:r>
          </w:p>
        </w:tc>
        <w:tc>
          <w:tcPr>
            <w:tcW w:w="5171"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运输特殊要求</w:t>
            </w:r>
          </w:p>
        </w:tc>
        <w:tc>
          <w:tcPr>
            <w:tcW w:w="5171"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保险要求</w:t>
            </w:r>
          </w:p>
        </w:tc>
        <w:tc>
          <w:tcPr>
            <w:tcW w:w="5171"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质量保证期</w:t>
            </w:r>
          </w:p>
        </w:tc>
        <w:tc>
          <w:tcPr>
            <w:tcW w:w="5171"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napToGrid w:val="0"/>
              <w:ind w:firstLine="424" w:firstLineChars="20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货物质量缺陷</w:t>
            </w:r>
          </w:p>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响应时间</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widowControl/>
              <w:autoSpaceDE w:val="0"/>
              <w:autoSpaceDN w:val="0"/>
              <w:adjustRightInd w:val="0"/>
              <w:spacing w:line="400" w:lineRule="exact"/>
              <w:jc w:val="center"/>
              <w:rPr>
                <w:rFonts w:hint="eastAsia" w:ascii="仿宋" w:hAnsi="仿宋" w:cs="仿宋"/>
                <w:color w:val="auto"/>
                <w:kern w:val="0"/>
                <w:sz w:val="22"/>
                <w:szCs w:val="21"/>
                <w:highlight w:val="none"/>
              </w:rPr>
            </w:pPr>
            <w:r>
              <w:rPr>
                <w:rFonts w:hint="eastAsia" w:ascii="仿宋" w:hAnsi="仿宋" w:cs="仿宋"/>
                <w:color w:val="auto"/>
                <w:kern w:val="0"/>
                <w:sz w:val="22"/>
                <w:szCs w:val="21"/>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其他应当保密的信息</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合同价款支付时间</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履约保证金不予退还的情形</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履约保证金退还时间及逾期退还的违约金</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运行监督、维修期限</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货物回收的约定</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乙方提供的其他服务</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修理、重作、更换相关具体规定</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迟延交货赔偿费</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逾期付款利息</w:t>
            </w:r>
          </w:p>
        </w:tc>
        <w:tc>
          <w:tcPr>
            <w:tcW w:w="5171"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hint="eastAsia" w:ascii="仿宋" w:hAnsi="仿宋" w:cs="仿宋"/>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其他违约责任</w:t>
            </w:r>
          </w:p>
        </w:tc>
        <w:tc>
          <w:tcPr>
            <w:tcW w:w="5171" w:type="dxa"/>
            <w:tcBorders>
              <w:top w:val="single" w:color="auto" w:sz="6" w:space="0"/>
              <w:left w:val="single" w:color="auto" w:sz="2" w:space="0"/>
              <w:bottom w:val="single" w:color="auto" w:sz="2" w:space="0"/>
              <w:right w:val="double" w:color="auto" w:sz="4" w:space="0"/>
            </w:tcBorders>
            <w:vAlign w:val="center"/>
          </w:tcPr>
          <w:p>
            <w:pPr>
              <w:adjustRightInd w:val="0"/>
              <w:snapToGrid w:val="0"/>
              <w:jc w:val="left"/>
              <w:rPr>
                <w:rFonts w:hint="eastAsia" w:ascii="仿宋" w:hAnsi="仿宋" w:cs="仿宋"/>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解决争议的方法</w:t>
            </w:r>
          </w:p>
        </w:tc>
        <w:tc>
          <w:tcPr>
            <w:tcW w:w="5171" w:type="dxa"/>
            <w:tcBorders>
              <w:top w:val="single" w:color="auto" w:sz="2" w:space="0"/>
              <w:left w:val="single" w:color="auto" w:sz="2" w:space="0"/>
              <w:bottom w:val="single" w:color="auto" w:sz="6" w:space="0"/>
              <w:right w:val="double" w:color="auto" w:sz="4" w:space="0"/>
            </w:tcBorders>
            <w:vAlign w:val="center"/>
          </w:tcPr>
          <w:p>
            <w:pPr>
              <w:autoSpaceDE w:val="0"/>
              <w:autoSpaceDN w:val="0"/>
              <w:adjustRightInd w:val="0"/>
              <w:snapToGrid w:val="0"/>
              <w:spacing w:line="400" w:lineRule="exact"/>
              <w:jc w:val="left"/>
              <w:rPr>
                <w:rFonts w:hint="eastAsia" w:ascii="仿宋" w:hAnsi="仿宋" w:cs="仿宋"/>
                <w:iCs/>
                <w:color w:val="auto"/>
                <w:szCs w:val="21"/>
                <w:highlight w:val="none"/>
              </w:rPr>
            </w:pPr>
            <w:r>
              <w:rPr>
                <w:rFonts w:hint="eastAsia" w:ascii="仿宋" w:hAnsi="仿宋" w:cs="仿宋"/>
                <w:iCs/>
                <w:color w:val="auto"/>
                <w:szCs w:val="21"/>
                <w:highlight w:val="none"/>
              </w:rPr>
              <w:t>因本合同及合同有关事项发生的争议，按下列第</w:t>
            </w:r>
            <w:r>
              <w:rPr>
                <w:rFonts w:hint="eastAsia" w:ascii="仿宋" w:hAnsi="仿宋" w:cs="仿宋"/>
                <w:iCs/>
                <w:color w:val="auto"/>
                <w:szCs w:val="21"/>
                <w:highlight w:val="none"/>
                <w:u w:val="single"/>
              </w:rPr>
              <w:t xml:space="preserve">   </w:t>
            </w:r>
            <w:r>
              <w:rPr>
                <w:rFonts w:hint="eastAsia" w:ascii="仿宋" w:hAnsi="仿宋" w:cs="仿宋"/>
                <w:iCs/>
                <w:color w:val="auto"/>
                <w:szCs w:val="21"/>
                <w:highlight w:val="none"/>
              </w:rPr>
              <w:t>种方式解决：</w:t>
            </w:r>
          </w:p>
          <w:p>
            <w:pPr>
              <w:autoSpaceDE w:val="0"/>
              <w:autoSpaceDN w:val="0"/>
              <w:adjustRightInd w:val="0"/>
              <w:snapToGrid w:val="0"/>
              <w:spacing w:line="400" w:lineRule="exact"/>
              <w:jc w:val="left"/>
              <w:rPr>
                <w:rFonts w:hint="eastAsia" w:ascii="仿宋" w:hAnsi="仿宋" w:cs="仿宋"/>
                <w:iCs/>
                <w:color w:val="auto"/>
                <w:szCs w:val="21"/>
                <w:highlight w:val="none"/>
              </w:rPr>
            </w:pPr>
            <w:r>
              <w:rPr>
                <w:rFonts w:hint="eastAsia" w:ascii="仿宋" w:hAnsi="仿宋" w:cs="仿宋"/>
                <w:iCs/>
                <w:color w:val="auto"/>
                <w:szCs w:val="21"/>
                <w:highlight w:val="none"/>
              </w:rPr>
              <w:t>（1）向</w:t>
            </w:r>
            <w:r>
              <w:rPr>
                <w:rFonts w:hint="eastAsia" w:ascii="仿宋" w:hAnsi="仿宋" w:cs="仿宋"/>
                <w:iCs/>
                <w:color w:val="auto"/>
                <w:szCs w:val="21"/>
                <w:highlight w:val="none"/>
                <w:u w:val="single"/>
              </w:rPr>
              <w:t xml:space="preserve">                    </w:t>
            </w:r>
            <w:r>
              <w:rPr>
                <w:rFonts w:hint="eastAsia" w:ascii="仿宋" w:hAnsi="仿宋" w:cs="仿宋"/>
                <w:iCs/>
                <w:color w:val="auto"/>
                <w:szCs w:val="21"/>
                <w:highlight w:val="none"/>
              </w:rPr>
              <w:t>仲裁委员会申请仲裁，仲裁地点为</w:t>
            </w:r>
            <w:r>
              <w:rPr>
                <w:rFonts w:hint="eastAsia" w:ascii="仿宋" w:hAnsi="仿宋" w:cs="仿宋"/>
                <w:iCs/>
                <w:color w:val="auto"/>
                <w:szCs w:val="21"/>
                <w:highlight w:val="none"/>
                <w:u w:val="single"/>
              </w:rPr>
              <w:t xml:space="preserve">           </w:t>
            </w:r>
            <w:r>
              <w:rPr>
                <w:rFonts w:hint="eastAsia" w:ascii="仿宋" w:hAnsi="仿宋" w:cs="仿宋"/>
                <w:iCs/>
                <w:color w:val="auto"/>
                <w:szCs w:val="21"/>
                <w:highlight w:val="none"/>
              </w:rPr>
              <w:t>；</w:t>
            </w:r>
          </w:p>
          <w:p>
            <w:pPr>
              <w:adjustRightInd w:val="0"/>
              <w:snapToGrid w:val="0"/>
              <w:jc w:val="left"/>
              <w:rPr>
                <w:rFonts w:hint="eastAsia" w:ascii="仿宋" w:hAnsi="仿宋" w:cs="仿宋"/>
                <w:color w:val="auto"/>
                <w:szCs w:val="21"/>
                <w:highlight w:val="none"/>
                <w:u w:val="single"/>
              </w:rPr>
            </w:pPr>
            <w:r>
              <w:rPr>
                <w:rFonts w:hint="eastAsia" w:ascii="仿宋" w:hAnsi="仿宋" w:cs="仿宋"/>
                <w:iCs/>
                <w:color w:val="auto"/>
                <w:szCs w:val="21"/>
                <w:highlight w:val="none"/>
              </w:rPr>
              <w:t>（2）向</w:t>
            </w:r>
            <w:r>
              <w:rPr>
                <w:rFonts w:hint="eastAsia" w:ascii="仿宋" w:hAnsi="仿宋" w:cs="仿宋"/>
                <w:iCs/>
                <w:color w:val="auto"/>
                <w:szCs w:val="21"/>
                <w:highlight w:val="none"/>
                <w:u w:val="single"/>
              </w:rPr>
              <w:t xml:space="preserve">                    </w:t>
            </w:r>
            <w:r>
              <w:rPr>
                <w:rFonts w:hint="eastAsia" w:ascii="仿宋" w:hAnsi="仿宋" w:cs="仿宋"/>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第二节</w:t>
            </w:r>
          </w:p>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adjustRightInd w:val="0"/>
              <w:snapToGrid w:val="0"/>
              <w:jc w:val="left"/>
              <w:rPr>
                <w:rFonts w:hint="eastAsia" w:ascii="仿宋" w:hAnsi="仿宋" w:cs="仿宋"/>
                <w:color w:val="auto"/>
                <w:szCs w:val="21"/>
                <w:highlight w:val="none"/>
              </w:rPr>
            </w:pPr>
            <w:r>
              <w:rPr>
                <w:rFonts w:hint="eastAsia" w:ascii="仿宋" w:hAnsi="仿宋" w:cs="仿宋"/>
                <w:bCs/>
                <w:color w:val="auto"/>
                <w:szCs w:val="21"/>
                <w:highlight w:val="none"/>
              </w:rPr>
              <w:t>其他专用条款</w:t>
            </w:r>
          </w:p>
        </w:tc>
        <w:tc>
          <w:tcPr>
            <w:tcW w:w="5171" w:type="dxa"/>
            <w:tcBorders>
              <w:top w:val="single" w:color="auto" w:sz="6" w:space="0"/>
              <w:left w:val="single" w:color="auto" w:sz="6" w:space="0"/>
              <w:bottom w:val="double" w:color="auto" w:sz="4" w:space="0"/>
              <w:right w:val="double" w:color="auto" w:sz="4" w:space="0"/>
            </w:tcBorders>
            <w:vAlign w:val="center"/>
          </w:tcPr>
          <w:p>
            <w:pPr>
              <w:adjustRightInd w:val="0"/>
              <w:snapToGrid w:val="0"/>
              <w:jc w:val="left"/>
              <w:rPr>
                <w:rFonts w:hint="eastAsia" w:ascii="仿宋" w:hAnsi="仿宋" w:cs="仿宋"/>
                <w:color w:val="auto"/>
                <w:szCs w:val="21"/>
                <w:highlight w:val="none"/>
              </w:rPr>
            </w:pPr>
          </w:p>
        </w:tc>
      </w:tr>
    </w:tbl>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sz w:val="24"/>
          <w:highlight w:val="none"/>
        </w:rPr>
      </w:pPr>
    </w:p>
    <w:p>
      <w:pPr>
        <w:rPr>
          <w:rFonts w:hint="eastAsia" w:ascii="仿宋" w:hAnsi="仿宋" w:cs="仿宋"/>
          <w:color w:val="auto"/>
          <w:highlight w:val="none"/>
        </w:rPr>
      </w:pPr>
    </w:p>
    <w:sectPr>
      <w:pgSz w:w="11906" w:h="16838"/>
      <w:pgMar w:top="1440" w:right="1803" w:bottom="1440" w:left="1803" w:header="851" w:footer="992" w:gutter="0"/>
      <w:cols w:space="0" w:num="1"/>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YaHei">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rPr>
                              <w:lang w:val="zh-CN"/>
                            </w:rPr>
                            <w:t>39</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N1LLeb9AQAADwQAAA4AAAAAAAAAAQAgAAAAHwEAAGRycy9lMm9Eb2MueG1s&#10;UEsFBgAAAAAGAAYAWQEAAI4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1FC04A2F"/>
    <w:multiLevelType w:val="multilevel"/>
    <w:tmpl w:val="1FC04A2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667690C8"/>
    <w:multiLevelType w:val="singleLevel"/>
    <w:tmpl w:val="667690C8"/>
    <w:lvl w:ilvl="0" w:tentative="0">
      <w:start w:val="1"/>
      <w:numFmt w:val="decimal"/>
      <w:suff w:val="space"/>
      <w:lvlText w:val="%1."/>
      <w:lvlJc w:val="left"/>
      <w:pPr>
        <w:ind w:left="0" w:firstLine="0"/>
      </w:pPr>
    </w:lvl>
  </w:abstractNum>
  <w:abstractNum w:abstractNumId="7">
    <w:nsid w:val="667690DE"/>
    <w:multiLevelType w:val="singleLevel"/>
    <w:tmpl w:val="667690DE"/>
    <w:lvl w:ilvl="0" w:tentative="0">
      <w:start w:val="1"/>
      <w:numFmt w:val="decimal"/>
      <w:suff w:val="nothing"/>
      <w:lvlText w:val="（%1）"/>
      <w:lvlJc w:val="left"/>
      <w:pPr>
        <w:ind w:left="0" w:firstLine="0"/>
      </w:pPr>
    </w:lvl>
  </w:abstractNum>
  <w:abstractNum w:abstractNumId="8">
    <w:nsid w:val="667690F4"/>
    <w:multiLevelType w:val="singleLevel"/>
    <w:tmpl w:val="667690F4"/>
    <w:lvl w:ilvl="0" w:tentative="0">
      <w:start w:val="1"/>
      <w:numFmt w:val="decimal"/>
      <w:suff w:val="nothing"/>
      <w:lvlText w:val="（%1）"/>
      <w:lvlJc w:val="left"/>
      <w:pPr>
        <w:ind w:left="0" w:firstLine="0"/>
      </w:pPr>
    </w:lvl>
  </w:abstractNum>
  <w:abstractNum w:abstractNumId="9">
    <w:nsid w:val="6676910A"/>
    <w:multiLevelType w:val="singleLevel"/>
    <w:tmpl w:val="6676910A"/>
    <w:lvl w:ilvl="0" w:tentative="0">
      <w:start w:val="2"/>
      <w:numFmt w:val="decimal"/>
      <w:suff w:val="space"/>
      <w:lvlText w:val="%1."/>
      <w:lvlJc w:val="left"/>
      <w:pPr>
        <w:ind w:left="0" w:firstLine="0"/>
      </w:pPr>
    </w:lvl>
  </w:abstractNum>
  <w:abstractNum w:abstractNumId="10">
    <w:nsid w:val="66769120"/>
    <w:multiLevelType w:val="singleLevel"/>
    <w:tmpl w:val="66769120"/>
    <w:lvl w:ilvl="0" w:tentative="0">
      <w:start w:val="6"/>
      <w:numFmt w:val="decimal"/>
      <w:suff w:val="space"/>
      <w:lvlText w:val="%1."/>
      <w:lvlJc w:val="left"/>
      <w:pPr>
        <w:ind w:left="0" w:firstLine="0"/>
      </w:pPr>
    </w:lvl>
  </w:abstractNum>
  <w:abstractNum w:abstractNumId="11">
    <w:nsid w:val="66769136"/>
    <w:multiLevelType w:val="singleLevel"/>
    <w:tmpl w:val="66769136"/>
    <w:lvl w:ilvl="0" w:tentative="0">
      <w:start w:val="16"/>
      <w:numFmt w:val="decimal"/>
      <w:suff w:val="space"/>
      <w:lvlText w:val="%1."/>
      <w:lvlJc w:val="left"/>
      <w:pPr>
        <w:ind w:left="0" w:firstLine="0"/>
      </w:pPr>
    </w:lvl>
  </w:abstractNum>
  <w:abstractNum w:abstractNumId="12">
    <w:nsid w:val="6676914C"/>
    <w:multiLevelType w:val="singleLevel"/>
    <w:tmpl w:val="6676914C"/>
    <w:lvl w:ilvl="0" w:tentative="0">
      <w:start w:val="23"/>
      <w:numFmt w:val="decimal"/>
      <w:suff w:val="space"/>
      <w:lvlText w:val="%1."/>
      <w:lvlJc w:val="left"/>
      <w:pPr>
        <w:ind w:left="0" w:firstLine="0"/>
      </w:pPr>
    </w:lvl>
  </w:abstractNum>
  <w:abstractNum w:abstractNumId="13">
    <w:nsid w:val="7B4156D0"/>
    <w:multiLevelType w:val="singleLevel"/>
    <w:tmpl w:val="7B4156D0"/>
    <w:lvl w:ilvl="0" w:tentative="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3"/>
  </w:num>
  <w:num w:numId="6">
    <w:abstractNumId w:val="13"/>
  </w:num>
  <w:num w:numId="7">
    <w:abstractNumId w:val="4"/>
  </w:num>
  <w:num w:numId="8">
    <w:abstractNumId w:val="6"/>
    <w:lvlOverride w:ilvl="0">
      <w:startOverride w:val="1"/>
    </w:lvlOverride>
  </w:num>
  <w:num w:numId="9">
    <w:abstractNumId w:val="7"/>
    <w:lvlOverride w:ilvl="0">
      <w:startOverride w:val="1"/>
    </w:lvlOverride>
  </w:num>
  <w:num w:numId="10">
    <w:abstractNumId w:val="8"/>
    <w:lvlOverride w:ilvl="0">
      <w:startOverride w:val="1"/>
    </w:lvlOverride>
  </w:num>
  <w:num w:numId="11">
    <w:abstractNumId w:val="9"/>
    <w:lvlOverride w:ilvl="0">
      <w:startOverride w:val="2"/>
    </w:lvlOverride>
  </w:num>
  <w:num w:numId="12">
    <w:abstractNumId w:val="10"/>
    <w:lvlOverride w:ilvl="0">
      <w:startOverride w:val="6"/>
    </w:lvlOverride>
  </w:num>
  <w:num w:numId="13">
    <w:abstractNumId w:val="11"/>
    <w:lvlOverride w:ilvl="0">
      <w:startOverride w:val="16"/>
    </w:lvlOverride>
  </w:num>
  <w:num w:numId="14">
    <w:abstractNumId w:val="12"/>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 w:name="KSO_WPS_MARK_KEY" w:val="9eab0e15-0963-4aae-b4b5-640e6c57a196"/>
  </w:docVars>
  <w:rsids>
    <w:rsidRoot w:val="008346B3"/>
    <w:rsid w:val="000C3CC6"/>
    <w:rsid w:val="002E7581"/>
    <w:rsid w:val="004844E5"/>
    <w:rsid w:val="006129B3"/>
    <w:rsid w:val="008346B3"/>
    <w:rsid w:val="00A723C6"/>
    <w:rsid w:val="00D42B96"/>
    <w:rsid w:val="00DB7622"/>
    <w:rsid w:val="00DC6859"/>
    <w:rsid w:val="00E756E3"/>
    <w:rsid w:val="00F05477"/>
    <w:rsid w:val="00F84D7B"/>
    <w:rsid w:val="01F77109"/>
    <w:rsid w:val="02471984"/>
    <w:rsid w:val="03CE3C73"/>
    <w:rsid w:val="07F35DAA"/>
    <w:rsid w:val="094445B2"/>
    <w:rsid w:val="0AB11E01"/>
    <w:rsid w:val="0C2240EA"/>
    <w:rsid w:val="0C335C1E"/>
    <w:rsid w:val="0D5A0848"/>
    <w:rsid w:val="0DDB5AB5"/>
    <w:rsid w:val="0ED36E9D"/>
    <w:rsid w:val="0F086CD2"/>
    <w:rsid w:val="0F9C6D4C"/>
    <w:rsid w:val="0FF64276"/>
    <w:rsid w:val="0FF7237E"/>
    <w:rsid w:val="10466E61"/>
    <w:rsid w:val="12445622"/>
    <w:rsid w:val="12527A9D"/>
    <w:rsid w:val="12F34829"/>
    <w:rsid w:val="15A23F13"/>
    <w:rsid w:val="174273C7"/>
    <w:rsid w:val="17957A0A"/>
    <w:rsid w:val="18866995"/>
    <w:rsid w:val="18F0124D"/>
    <w:rsid w:val="1AC212FD"/>
    <w:rsid w:val="1AE6196C"/>
    <w:rsid w:val="1D193CAE"/>
    <w:rsid w:val="1D94745E"/>
    <w:rsid w:val="23CD3702"/>
    <w:rsid w:val="24313B89"/>
    <w:rsid w:val="254A2AF8"/>
    <w:rsid w:val="25664159"/>
    <w:rsid w:val="290C0BCD"/>
    <w:rsid w:val="2C9B51F8"/>
    <w:rsid w:val="2DC93154"/>
    <w:rsid w:val="2E396B98"/>
    <w:rsid w:val="305A1AE1"/>
    <w:rsid w:val="32782ACE"/>
    <w:rsid w:val="33E222C5"/>
    <w:rsid w:val="348B4D19"/>
    <w:rsid w:val="361445AA"/>
    <w:rsid w:val="36E46A90"/>
    <w:rsid w:val="372238D5"/>
    <w:rsid w:val="37A442EA"/>
    <w:rsid w:val="3824688C"/>
    <w:rsid w:val="387A71D3"/>
    <w:rsid w:val="39BC3B6C"/>
    <w:rsid w:val="39C40C73"/>
    <w:rsid w:val="39E12EE6"/>
    <w:rsid w:val="3CB966F2"/>
    <w:rsid w:val="3E5B3054"/>
    <w:rsid w:val="3F465261"/>
    <w:rsid w:val="3F852C53"/>
    <w:rsid w:val="3FE536F1"/>
    <w:rsid w:val="419534CF"/>
    <w:rsid w:val="432541E2"/>
    <w:rsid w:val="4857052C"/>
    <w:rsid w:val="494B1E51"/>
    <w:rsid w:val="512978E2"/>
    <w:rsid w:val="51C165D1"/>
    <w:rsid w:val="51F33B92"/>
    <w:rsid w:val="52B14AFF"/>
    <w:rsid w:val="53530C46"/>
    <w:rsid w:val="540957A8"/>
    <w:rsid w:val="545509EE"/>
    <w:rsid w:val="55361E15"/>
    <w:rsid w:val="55DB6ED6"/>
    <w:rsid w:val="56484751"/>
    <w:rsid w:val="58EB1921"/>
    <w:rsid w:val="59751451"/>
    <w:rsid w:val="5C8D2428"/>
    <w:rsid w:val="5D4C29B6"/>
    <w:rsid w:val="5D924A61"/>
    <w:rsid w:val="5DA41FC8"/>
    <w:rsid w:val="5DD42033"/>
    <w:rsid w:val="5E394E90"/>
    <w:rsid w:val="5F50072F"/>
    <w:rsid w:val="60BC2F21"/>
    <w:rsid w:val="60CB2763"/>
    <w:rsid w:val="6164334A"/>
    <w:rsid w:val="619D1D0C"/>
    <w:rsid w:val="62B54325"/>
    <w:rsid w:val="64D70F5D"/>
    <w:rsid w:val="65152FE8"/>
    <w:rsid w:val="672F7236"/>
    <w:rsid w:val="67A35BB4"/>
    <w:rsid w:val="67C92572"/>
    <w:rsid w:val="684B3A68"/>
    <w:rsid w:val="69E403F2"/>
    <w:rsid w:val="6C3C7EF2"/>
    <w:rsid w:val="6F011A46"/>
    <w:rsid w:val="708A7E30"/>
    <w:rsid w:val="73F25E01"/>
    <w:rsid w:val="74F1546A"/>
    <w:rsid w:val="76E373D4"/>
    <w:rsid w:val="773A7260"/>
    <w:rsid w:val="773E4638"/>
    <w:rsid w:val="78864281"/>
    <w:rsid w:val="78D520AA"/>
    <w:rsid w:val="78FB12B4"/>
    <w:rsid w:val="79001FB8"/>
    <w:rsid w:val="7A8552D9"/>
    <w:rsid w:val="7B76471B"/>
    <w:rsid w:val="7C280612"/>
    <w:rsid w:val="7C2B43D3"/>
    <w:rsid w:val="7CB65C1E"/>
    <w:rsid w:val="7DBD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1"/>
    <w:basedOn w:val="1"/>
    <w:next w:val="1"/>
    <w:link w:val="46"/>
    <w:qFormat/>
    <w:uiPriority w:val="0"/>
    <w:pPr>
      <w:keepNext/>
      <w:keepLines/>
      <w:spacing w:before="120" w:after="120"/>
      <w:jc w:val="center"/>
      <w:outlineLvl w:val="0"/>
    </w:pPr>
    <w:rPr>
      <w:rFonts w:ascii="Calibri" w:hAnsi="Calibri"/>
      <w:b/>
      <w:kern w:val="44"/>
      <w:sz w:val="44"/>
    </w:rPr>
  </w:style>
  <w:style w:type="paragraph" w:styleId="4">
    <w:name w:val="heading 2"/>
    <w:basedOn w:val="1"/>
    <w:next w:val="1"/>
    <w:link w:val="75"/>
    <w:qFormat/>
    <w:uiPriority w:val="99"/>
    <w:pPr>
      <w:keepNext/>
      <w:keepLines/>
      <w:spacing w:before="140" w:after="140" w:line="413" w:lineRule="auto"/>
      <w:jc w:val="center"/>
      <w:outlineLvl w:val="1"/>
    </w:pPr>
    <w:rPr>
      <w:rFonts w:ascii="Arial" w:hAnsi="Arial"/>
      <w:b/>
      <w:sz w:val="28"/>
    </w:rPr>
  </w:style>
  <w:style w:type="paragraph" w:styleId="5">
    <w:name w:val="heading 3"/>
    <w:basedOn w:val="1"/>
    <w:next w:val="1"/>
    <w:link w:val="84"/>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outlineLvl w:val="3"/>
    </w:pPr>
    <w:rPr>
      <w:rFonts w:ascii="Arial" w:hAnsi="Arial" w:eastAsia="黑体"/>
      <w:bCs/>
      <w:kern w:val="0"/>
      <w:sz w:val="24"/>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3"/>
    <w:qFormat/>
    <w:uiPriority w:val="99"/>
    <w:pPr>
      <w:tabs>
        <w:tab w:val="center" w:pos="4153"/>
        <w:tab w:val="right" w:pos="8306"/>
      </w:tabs>
      <w:snapToGrid w:val="0"/>
      <w:jc w:val="left"/>
    </w:pPr>
    <w:rPr>
      <w:sz w:val="18"/>
    </w:rPr>
  </w:style>
  <w:style w:type="paragraph" w:styleId="7">
    <w:name w:val="Normal Indent"/>
    <w:basedOn w:val="1"/>
    <w:unhideWhenUsed/>
    <w:qFormat/>
    <w:uiPriority w:val="0"/>
    <w:pPr>
      <w:ind w:firstLine="420" w:firstLineChars="200"/>
    </w:pPr>
    <w:rPr>
      <w:rFonts w:eastAsia="宋体"/>
      <w:szCs w:val="20"/>
    </w:rPr>
  </w:style>
  <w:style w:type="paragraph" w:styleId="8">
    <w:name w:val="Document Map"/>
    <w:basedOn w:val="1"/>
    <w:link w:val="49"/>
    <w:qFormat/>
    <w:uiPriority w:val="0"/>
    <w:rPr>
      <w:rFonts w:ascii="宋体" w:hAnsi="Calibri" w:eastAsia="宋体"/>
      <w:sz w:val="18"/>
      <w:szCs w:val="18"/>
    </w:rPr>
  </w:style>
  <w:style w:type="paragraph" w:styleId="9">
    <w:name w:val="toa heading"/>
    <w:basedOn w:val="1"/>
    <w:next w:val="1"/>
    <w:unhideWhenUsed/>
    <w:qFormat/>
    <w:uiPriority w:val="99"/>
    <w:rPr>
      <w:rFonts w:ascii="Arial" w:hAnsi="Arial"/>
      <w:sz w:val="24"/>
    </w:rPr>
  </w:style>
  <w:style w:type="paragraph" w:styleId="10">
    <w:name w:val="annotation text"/>
    <w:basedOn w:val="1"/>
    <w:link w:val="51"/>
    <w:unhideWhenUsed/>
    <w:qFormat/>
    <w:uiPriority w:val="0"/>
    <w:pPr>
      <w:jc w:val="left"/>
    </w:pPr>
    <w:rPr>
      <w:rFonts w:ascii="Calibri" w:hAnsi="Calibri"/>
    </w:rPr>
  </w:style>
  <w:style w:type="paragraph" w:styleId="11">
    <w:name w:val="Body Text"/>
    <w:basedOn w:val="1"/>
    <w:link w:val="40"/>
    <w:qFormat/>
    <w:uiPriority w:val="0"/>
    <w:pPr>
      <w:spacing w:line="360" w:lineRule="auto"/>
      <w:ind w:firstLine="562" w:firstLineChars="200"/>
      <w:jc w:val="center"/>
    </w:pPr>
    <w:rPr>
      <w:rFonts w:eastAsia="宋体"/>
      <w:sz w:val="24"/>
    </w:rPr>
  </w:style>
  <w:style w:type="paragraph" w:styleId="12">
    <w:name w:val="Body Text Indent"/>
    <w:basedOn w:val="1"/>
    <w:qFormat/>
    <w:uiPriority w:val="0"/>
    <w:pPr>
      <w:spacing w:line="360" w:lineRule="auto"/>
      <w:ind w:firstLine="480" w:firstLineChars="200"/>
    </w:pPr>
    <w:rPr>
      <w:rFonts w:ascii="宋体"/>
      <w:sz w:val="24"/>
      <w:szCs w:val="20"/>
    </w:rPr>
  </w:style>
  <w:style w:type="paragraph" w:styleId="13">
    <w:name w:val="Plain Text"/>
    <w:basedOn w:val="1"/>
    <w:link w:val="54"/>
    <w:qFormat/>
    <w:uiPriority w:val="99"/>
    <w:rPr>
      <w:rFonts w:ascii="宋体" w:hAnsi="Courier New"/>
      <w:szCs w:val="21"/>
    </w:rPr>
  </w:style>
  <w:style w:type="paragraph" w:styleId="14">
    <w:name w:val="Date"/>
    <w:basedOn w:val="1"/>
    <w:next w:val="1"/>
    <w:link w:val="45"/>
    <w:qFormat/>
    <w:uiPriority w:val="0"/>
    <w:pPr>
      <w:ind w:left="100" w:leftChars="2500"/>
    </w:pPr>
  </w:style>
  <w:style w:type="paragraph" w:styleId="15">
    <w:name w:val="Balloon Text"/>
    <w:basedOn w:val="1"/>
    <w:link w:val="39"/>
    <w:qFormat/>
    <w:uiPriority w:val="0"/>
    <w:rPr>
      <w:rFonts w:ascii="Calibri" w:hAnsi="Calibri"/>
      <w:sz w:val="18"/>
      <w:szCs w:val="18"/>
    </w:rPr>
  </w:style>
  <w:style w:type="paragraph" w:styleId="16">
    <w:name w:val="envelope return"/>
    <w:basedOn w:val="1"/>
    <w:qFormat/>
    <w:uiPriority w:val="0"/>
    <w:pPr>
      <w:widowControl/>
    </w:pPr>
    <w:rPr>
      <w:rFonts w:ascii="Arial" w:hAnsi="Arial" w:eastAsia="Arial"/>
      <w:sz w:val="20"/>
    </w:rPr>
  </w:style>
  <w:style w:type="paragraph" w:styleId="17">
    <w:name w:val="header"/>
    <w:basedOn w:val="1"/>
    <w:link w:val="8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Body Text 2"/>
    <w:basedOn w:val="1"/>
    <w:qFormat/>
    <w:uiPriority w:val="0"/>
    <w:pPr>
      <w:spacing w:after="120" w:line="480" w:lineRule="auto"/>
    </w:pPr>
  </w:style>
  <w:style w:type="paragraph" w:styleId="2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10"/>
    <w:next w:val="10"/>
    <w:link w:val="36"/>
    <w:qFormat/>
    <w:uiPriority w:val="0"/>
    <w:rPr>
      <w:b/>
      <w:bCs/>
    </w:rPr>
  </w:style>
  <w:style w:type="paragraph" w:styleId="23">
    <w:name w:val="Body Text First Indent"/>
    <w:basedOn w:val="11"/>
    <w:next w:val="1"/>
    <w:qFormat/>
    <w:uiPriority w:val="0"/>
    <w:pPr>
      <w:spacing w:after="120"/>
      <w:ind w:firstLine="420" w:firstLineChars="100"/>
    </w:pPr>
  </w:style>
  <w:style w:type="paragraph" w:styleId="24">
    <w:name w:val="Body Text First Indent 2"/>
    <w:basedOn w:val="12"/>
    <w:qFormat/>
    <w:uiPriority w:val="99"/>
    <w:pPr>
      <w:adjustRightInd w:val="0"/>
      <w:spacing w:after="120" w:line="520" w:lineRule="exact"/>
      <w:ind w:firstLine="210" w:firstLineChars="0"/>
      <w:textAlignment w:val="baseline"/>
    </w:pPr>
    <w:rPr>
      <w:rFonts w:ascii="黑体" w:hAnsi="Arial" w:eastAsia="黑体" w:cs="黑体"/>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Hyperlink"/>
    <w:qFormat/>
    <w:uiPriority w:val="99"/>
    <w:rPr>
      <w:color w:val="0000FF"/>
      <w:u w:val="single"/>
    </w:rPr>
  </w:style>
  <w:style w:type="character" w:styleId="30">
    <w:name w:val="annotation reference"/>
    <w:unhideWhenUsed/>
    <w:qFormat/>
    <w:uiPriority w:val="0"/>
    <w:rPr>
      <w:sz w:val="21"/>
      <w:szCs w:val="21"/>
    </w:rPr>
  </w:style>
  <w:style w:type="paragraph" w:customStyle="1" w:styleId="31">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正文文本首行缩进1"/>
    <w:basedOn w:val="11"/>
    <w:next w:val="1"/>
    <w:link w:val="47"/>
    <w:qFormat/>
    <w:uiPriority w:val="0"/>
    <w:pPr>
      <w:spacing w:after="120"/>
      <w:ind w:firstLine="420" w:firstLineChars="100"/>
    </w:pPr>
  </w:style>
  <w:style w:type="character" w:customStyle="1" w:styleId="33">
    <w:name w:val="批注文字 Char"/>
    <w:qFormat/>
    <w:uiPriority w:val="99"/>
    <w:rPr>
      <w:rFonts w:ascii="Calibri" w:hAnsi="Calibri" w:eastAsia="仿宋" w:cs="Times New Roman"/>
      <w:kern w:val="2"/>
      <w:sz w:val="21"/>
      <w:szCs w:val="24"/>
    </w:rPr>
  </w:style>
  <w:style w:type="character" w:customStyle="1" w:styleId="34">
    <w:name w:val="control-label-text2"/>
    <w:qFormat/>
    <w:uiPriority w:val="0"/>
  </w:style>
  <w:style w:type="character" w:customStyle="1" w:styleId="35">
    <w:name w:val="正文文本 Char1"/>
    <w:qFormat/>
    <w:uiPriority w:val="0"/>
    <w:rPr>
      <w:rFonts w:eastAsia="仿宋"/>
      <w:kern w:val="2"/>
      <w:sz w:val="21"/>
      <w:szCs w:val="24"/>
    </w:rPr>
  </w:style>
  <w:style w:type="character" w:customStyle="1" w:styleId="36">
    <w:name w:val="批注主题 字符"/>
    <w:link w:val="22"/>
    <w:qFormat/>
    <w:uiPriority w:val="0"/>
    <w:rPr>
      <w:rFonts w:ascii="Calibri" w:hAnsi="Calibri" w:eastAsia="仿宋" w:cs="Times New Roman"/>
      <w:b/>
      <w:bCs/>
      <w:kern w:val="2"/>
      <w:sz w:val="21"/>
      <w:szCs w:val="24"/>
    </w:rPr>
  </w:style>
  <w:style w:type="character" w:customStyle="1" w:styleId="37">
    <w:name w:val="文档结构图 Char"/>
    <w:qFormat/>
    <w:uiPriority w:val="0"/>
    <w:rPr>
      <w:rFonts w:ascii="宋体" w:hAnsi="Calibri" w:cs="Times New Roman"/>
      <w:kern w:val="2"/>
      <w:sz w:val="18"/>
      <w:szCs w:val="18"/>
    </w:rPr>
  </w:style>
  <w:style w:type="character" w:customStyle="1" w:styleId="38">
    <w:name w:val="批注主题 Char"/>
    <w:qFormat/>
    <w:uiPriority w:val="0"/>
    <w:rPr>
      <w:rFonts w:ascii="Calibri" w:hAnsi="Calibri" w:eastAsia="仿宋" w:cs="Times New Roman"/>
      <w:b/>
      <w:bCs/>
      <w:kern w:val="2"/>
      <w:sz w:val="21"/>
      <w:szCs w:val="24"/>
    </w:rPr>
  </w:style>
  <w:style w:type="character" w:customStyle="1" w:styleId="39">
    <w:name w:val="批注框文本 字符"/>
    <w:link w:val="15"/>
    <w:qFormat/>
    <w:uiPriority w:val="0"/>
    <w:rPr>
      <w:rFonts w:ascii="Calibri" w:hAnsi="Calibri" w:eastAsia="仿宋" w:cs="Times New Roman"/>
      <w:kern w:val="2"/>
      <w:sz w:val="18"/>
      <w:szCs w:val="18"/>
    </w:rPr>
  </w:style>
  <w:style w:type="character" w:customStyle="1" w:styleId="40">
    <w:name w:val="正文文本 字符"/>
    <w:link w:val="11"/>
    <w:qFormat/>
    <w:uiPriority w:val="0"/>
    <w:rPr>
      <w:kern w:val="2"/>
      <w:sz w:val="24"/>
      <w:szCs w:val="24"/>
    </w:rPr>
  </w:style>
  <w:style w:type="character" w:customStyle="1" w:styleId="41">
    <w:name w:val="日期 Char1"/>
    <w:qFormat/>
    <w:uiPriority w:val="0"/>
    <w:rPr>
      <w:rFonts w:eastAsia="仿宋"/>
      <w:kern w:val="2"/>
      <w:sz w:val="21"/>
      <w:szCs w:val="24"/>
    </w:rPr>
  </w:style>
  <w:style w:type="character" w:customStyle="1" w:styleId="42">
    <w:name w:val="fontstyle01"/>
    <w:qFormat/>
    <w:uiPriority w:val="0"/>
    <w:rPr>
      <w:rFonts w:hint="default" w:ascii="MicrosoftYaHei" w:hAnsi="MicrosoftYaHei"/>
      <w:color w:val="000000"/>
      <w:sz w:val="22"/>
      <w:szCs w:val="22"/>
    </w:rPr>
  </w:style>
  <w:style w:type="character" w:customStyle="1" w:styleId="43">
    <w:name w:val="无间隔 字符"/>
    <w:link w:val="44"/>
    <w:qFormat/>
    <w:uiPriority w:val="1"/>
    <w:rPr>
      <w:sz w:val="22"/>
      <w:szCs w:val="22"/>
      <w:lang w:val="en-US" w:eastAsia="zh-CN" w:bidi="ar-SA"/>
    </w:rPr>
  </w:style>
  <w:style w:type="paragraph" w:customStyle="1" w:styleId="44">
    <w:name w:val="无间隔1"/>
    <w:link w:val="43"/>
    <w:qFormat/>
    <w:uiPriority w:val="1"/>
    <w:rPr>
      <w:rFonts w:ascii="Times New Roman" w:hAnsi="Times New Roman" w:eastAsia="宋体" w:cs="Times New Roman"/>
      <w:sz w:val="22"/>
      <w:szCs w:val="22"/>
      <w:lang w:val="en-US" w:eastAsia="zh-CN" w:bidi="ar-SA"/>
    </w:rPr>
  </w:style>
  <w:style w:type="character" w:customStyle="1" w:styleId="45">
    <w:name w:val="日期 字符"/>
    <w:link w:val="14"/>
    <w:qFormat/>
    <w:uiPriority w:val="0"/>
    <w:rPr>
      <w:rFonts w:eastAsia="仿宋"/>
      <w:kern w:val="2"/>
      <w:sz w:val="21"/>
      <w:szCs w:val="24"/>
    </w:rPr>
  </w:style>
  <w:style w:type="character" w:customStyle="1" w:styleId="46">
    <w:name w:val="标题 1 字符"/>
    <w:link w:val="3"/>
    <w:qFormat/>
    <w:uiPriority w:val="0"/>
    <w:rPr>
      <w:rFonts w:ascii="Calibri" w:hAnsi="Calibri" w:eastAsia="仿宋" w:cs="Times New Roman"/>
      <w:b/>
      <w:kern w:val="44"/>
      <w:sz w:val="44"/>
      <w:szCs w:val="24"/>
    </w:rPr>
  </w:style>
  <w:style w:type="character" w:customStyle="1" w:styleId="47">
    <w:name w:val="正文文本首行缩进 字符"/>
    <w:link w:val="32"/>
    <w:qFormat/>
    <w:uiPriority w:val="0"/>
  </w:style>
  <w:style w:type="character" w:customStyle="1" w:styleId="48">
    <w:name w:val="标题 1 Char"/>
    <w:qFormat/>
    <w:uiPriority w:val="0"/>
    <w:rPr>
      <w:rFonts w:ascii="Calibri" w:hAnsi="Calibri" w:eastAsia="仿宋" w:cs="Times New Roman"/>
      <w:b/>
      <w:kern w:val="44"/>
      <w:sz w:val="44"/>
      <w:szCs w:val="24"/>
    </w:rPr>
  </w:style>
  <w:style w:type="character" w:customStyle="1" w:styleId="49">
    <w:name w:val="文档结构图 字符"/>
    <w:link w:val="8"/>
    <w:qFormat/>
    <w:uiPriority w:val="0"/>
    <w:rPr>
      <w:rFonts w:ascii="宋体" w:hAnsi="Calibri" w:cs="Times New Roman"/>
      <w:kern w:val="2"/>
      <w:sz w:val="18"/>
      <w:szCs w:val="18"/>
    </w:rPr>
  </w:style>
  <w:style w:type="character" w:customStyle="1" w:styleId="50">
    <w:name w:val="正文首行缩进 Char1"/>
    <w:qFormat/>
    <w:uiPriority w:val="0"/>
  </w:style>
  <w:style w:type="character" w:customStyle="1" w:styleId="51">
    <w:name w:val="批注文字 字符"/>
    <w:link w:val="10"/>
    <w:qFormat/>
    <w:uiPriority w:val="99"/>
    <w:rPr>
      <w:rFonts w:ascii="Calibri" w:hAnsi="Calibri" w:eastAsia="仿宋" w:cs="Times New Roman"/>
      <w:kern w:val="2"/>
      <w:sz w:val="21"/>
      <w:szCs w:val="24"/>
    </w:rPr>
  </w:style>
  <w:style w:type="character" w:customStyle="1" w:styleId="52">
    <w:name w:val="批注框文本 Char"/>
    <w:qFormat/>
    <w:uiPriority w:val="0"/>
    <w:rPr>
      <w:rFonts w:ascii="Calibri" w:hAnsi="Calibri" w:eastAsia="仿宋" w:cs="Times New Roman"/>
      <w:kern w:val="2"/>
      <w:sz w:val="18"/>
      <w:szCs w:val="18"/>
    </w:rPr>
  </w:style>
  <w:style w:type="character" w:customStyle="1" w:styleId="53">
    <w:name w:val="页脚 字符"/>
    <w:link w:val="2"/>
    <w:qFormat/>
    <w:uiPriority w:val="99"/>
    <w:rPr>
      <w:rFonts w:eastAsia="仿宋"/>
      <w:kern w:val="2"/>
      <w:sz w:val="18"/>
      <w:szCs w:val="24"/>
    </w:rPr>
  </w:style>
  <w:style w:type="character" w:customStyle="1" w:styleId="54">
    <w:name w:val="纯文本 字符"/>
    <w:link w:val="13"/>
    <w:qFormat/>
    <w:uiPriority w:val="0"/>
    <w:rPr>
      <w:rFonts w:ascii="宋体" w:hAnsi="Courier New" w:eastAsia="仿宋" w:cs="Courier New"/>
      <w:kern w:val="2"/>
      <w:sz w:val="21"/>
      <w:szCs w:val="21"/>
    </w:rPr>
  </w:style>
  <w:style w:type="paragraph" w:customStyle="1" w:styleId="55">
    <w:name w:val="目录 11"/>
    <w:basedOn w:val="1"/>
    <w:next w:val="1"/>
    <w:qFormat/>
    <w:uiPriority w:val="0"/>
  </w:style>
  <w:style w:type="paragraph" w:customStyle="1" w:styleId="56">
    <w:name w:val="_Style 29"/>
    <w:basedOn w:val="1"/>
    <w:next w:val="57"/>
    <w:qFormat/>
    <w:uiPriority w:val="34"/>
    <w:pPr>
      <w:ind w:firstLine="420" w:firstLineChars="200"/>
    </w:pPr>
    <w:rPr>
      <w:rFonts w:eastAsia="宋体"/>
    </w:rPr>
  </w:style>
  <w:style w:type="paragraph" w:customStyle="1" w:styleId="57">
    <w:name w:val="列表段落1"/>
    <w:basedOn w:val="1"/>
    <w:qFormat/>
    <w:uiPriority w:val="34"/>
    <w:pPr>
      <w:ind w:firstLine="420" w:firstLineChars="200"/>
    </w:p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列出段落11"/>
    <w:basedOn w:val="1"/>
    <w:qFormat/>
    <w:uiPriority w:val="34"/>
    <w:pPr>
      <w:ind w:firstLine="420" w:firstLineChars="200"/>
    </w:pPr>
    <w:rPr>
      <w:rFonts w:ascii="Calibri" w:hAnsi="Calibri" w:eastAsia="宋体"/>
      <w:szCs w:val="22"/>
      <w:lang w:val="zh-CN"/>
    </w:rPr>
  </w:style>
  <w:style w:type="paragraph" w:customStyle="1" w:styleId="60">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61">
    <w:name w:val="_Style 4"/>
    <w:qFormat/>
    <w:uiPriority w:val="1"/>
    <w:rPr>
      <w:rFonts w:ascii="Times New Roman" w:hAnsi="Times New Roman" w:eastAsia="宋体" w:cs="Times New Roman"/>
      <w:sz w:val="22"/>
      <w:szCs w:val="22"/>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4">
    <w:name w:val="_Style 2"/>
    <w:basedOn w:val="1"/>
    <w:qFormat/>
    <w:uiPriority w:val="34"/>
    <w:pPr>
      <w:widowControl/>
      <w:spacing w:after="200" w:line="276" w:lineRule="auto"/>
      <w:ind w:left="720"/>
      <w:contextualSpacing/>
      <w:jc w:val="left"/>
    </w:pPr>
    <w:rPr>
      <w:rFonts w:eastAsia="宋体"/>
      <w:kern w:val="0"/>
      <w:sz w:val="22"/>
      <w:szCs w:val="22"/>
    </w:rPr>
  </w:style>
  <w:style w:type="paragraph" w:customStyle="1" w:styleId="65">
    <w:name w:val="样式H"/>
    <w:basedOn w:val="3"/>
    <w:next w:val="1"/>
    <w:qFormat/>
    <w:uiPriority w:val="0"/>
    <w:pPr>
      <w:spacing w:before="100" w:line="500" w:lineRule="exact"/>
    </w:p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无间隔11"/>
    <w:qFormat/>
    <w:uiPriority w:val="1"/>
    <w:rPr>
      <w:rFonts w:ascii="Times New Roman" w:hAnsi="Times New Roman" w:eastAsia="宋体" w:cs="Times New Roman"/>
      <w:sz w:val="22"/>
      <w:szCs w:val="22"/>
      <w:lang w:val="en-US" w:eastAsia="zh-CN" w:bidi="ar-SA"/>
    </w:rPr>
  </w:style>
  <w:style w:type="paragraph" w:customStyle="1" w:styleId="68">
    <w:name w:val="Table Paragraph"/>
    <w:basedOn w:val="1"/>
    <w:qFormat/>
    <w:uiPriority w:val="1"/>
    <w:rPr>
      <w:rFonts w:ascii="Calibri" w:hAnsi="Calibri" w:eastAsia="宋体"/>
    </w:rPr>
  </w:style>
  <w:style w:type="paragraph" w:customStyle="1" w:styleId="69">
    <w:name w:val="样式N"/>
    <w:basedOn w:val="65"/>
    <w:qFormat/>
    <w:uiPriority w:val="0"/>
    <w:rPr>
      <w:sz w:val="30"/>
    </w:rPr>
  </w:style>
  <w:style w:type="table" w:customStyle="1" w:styleId="70">
    <w:name w:val="网格型1"/>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访问过的超链接1"/>
    <w:unhideWhenUsed/>
    <w:qFormat/>
    <w:uiPriority w:val="99"/>
    <w:rPr>
      <w:color w:val="954F72"/>
      <w:u w:val="single"/>
    </w:rPr>
  </w:style>
  <w:style w:type="paragraph" w:customStyle="1" w:styleId="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75">
    <w:name w:val="标题 2 字符"/>
    <w:link w:val="4"/>
    <w:qFormat/>
    <w:uiPriority w:val="99"/>
    <w:rPr>
      <w:rFonts w:ascii="Arial" w:hAnsi="Arial" w:eastAsia="仿宋"/>
      <w:b/>
      <w:kern w:val="2"/>
      <w:sz w:val="28"/>
      <w:szCs w:val="24"/>
    </w:rPr>
  </w:style>
  <w:style w:type="character" w:customStyle="1" w:styleId="76">
    <w:name w:val="批注文字 Char1"/>
    <w:qFormat/>
    <w:uiPriority w:val="99"/>
    <w:rPr>
      <w:rFonts w:ascii="Calibri" w:hAnsi="Calibri" w:eastAsia="仿宋" w:cs="Times New Roman"/>
      <w:kern w:val="2"/>
      <w:sz w:val="21"/>
      <w:szCs w:val="24"/>
    </w:rPr>
  </w:style>
  <w:style w:type="paragraph" w:customStyle="1" w:styleId="77">
    <w:name w:val="Normal_1"/>
    <w:qFormat/>
    <w:uiPriority w:val="0"/>
    <w:rPr>
      <w:rFonts w:ascii="Times New Roman" w:hAnsi="Times New Roman" w:eastAsia="宋体" w:cs="Times New Roman"/>
      <w:sz w:val="24"/>
      <w:szCs w:val="24"/>
      <w:lang w:val="en-US" w:eastAsia="zh-CN" w:bidi="ar-SA"/>
    </w:rPr>
  </w:style>
  <w:style w:type="character" w:customStyle="1" w:styleId="78">
    <w:name w:val="NormalCharacter"/>
    <w:qFormat/>
    <w:uiPriority w:val="0"/>
  </w:style>
  <w:style w:type="character" w:customStyle="1" w:styleId="79">
    <w:name w:val="font41"/>
    <w:basedOn w:val="27"/>
    <w:qFormat/>
    <w:uiPriority w:val="0"/>
    <w:rPr>
      <w:rFonts w:hint="eastAsia" w:ascii="宋体" w:hAnsi="宋体" w:eastAsia="宋体" w:cs="宋体"/>
      <w:color w:val="000000"/>
      <w:sz w:val="21"/>
      <w:szCs w:val="21"/>
      <w:u w:val="none"/>
    </w:rPr>
  </w:style>
  <w:style w:type="paragraph" w:customStyle="1" w:styleId="80">
    <w:name w:val="表格内容_左对齐"/>
    <w:basedOn w:val="1"/>
    <w:qFormat/>
    <w:uiPriority w:val="0"/>
    <w:pPr>
      <w:widowControl/>
      <w:jc w:val="left"/>
    </w:pPr>
    <w:rPr>
      <w:rFonts w:ascii="宋体" w:hAnsi="宋体" w:eastAsia="宋体" w:cs="宋体"/>
      <w:color w:val="000000"/>
      <w:kern w:val="0"/>
      <w:sz w:val="22"/>
      <w:szCs w:val="22"/>
    </w:rPr>
  </w:style>
  <w:style w:type="paragraph" w:customStyle="1" w:styleId="81">
    <w:name w:val="表行"/>
    <w:basedOn w:val="1"/>
    <w:qFormat/>
    <w:uiPriority w:val="0"/>
    <w:pPr>
      <w:widowControl/>
      <w:spacing w:beforeLines="50"/>
    </w:pPr>
    <w:rPr>
      <w:rFonts w:eastAsia="宋体"/>
      <w:kern w:val="0"/>
    </w:rPr>
  </w:style>
  <w:style w:type="character" w:customStyle="1" w:styleId="82">
    <w:name w:val="页眉 字符"/>
    <w:basedOn w:val="27"/>
    <w:link w:val="17"/>
    <w:qFormat/>
    <w:uiPriority w:val="99"/>
    <w:rPr>
      <w:rFonts w:eastAsia="仿宋"/>
      <w:kern w:val="2"/>
      <w:sz w:val="18"/>
      <w:szCs w:val="24"/>
    </w:rPr>
  </w:style>
  <w:style w:type="paragraph" w:customStyle="1" w:styleId="83">
    <w:name w:val="Normal_6"/>
    <w:qFormat/>
    <w:uiPriority w:val="0"/>
    <w:rPr>
      <w:rFonts w:ascii="Times New Roman" w:hAnsi="Times New Roman" w:eastAsia="Times New Roman" w:cs="Times New Roman"/>
      <w:sz w:val="24"/>
      <w:szCs w:val="24"/>
      <w:lang w:val="en-US" w:eastAsia="zh-CN" w:bidi="ar-SA"/>
    </w:rPr>
  </w:style>
  <w:style w:type="character" w:customStyle="1" w:styleId="84">
    <w:name w:val="标题 3 字符"/>
    <w:basedOn w:val="27"/>
    <w:link w:val="5"/>
    <w:semiHidden/>
    <w:qFormat/>
    <w:uiPriority w:val="0"/>
    <w:rPr>
      <w:rFonts w:eastAsia="仿宋"/>
      <w:b/>
      <w:bCs/>
      <w:kern w:val="2"/>
      <w:sz w:val="32"/>
      <w:szCs w:val="32"/>
    </w:rPr>
  </w:style>
  <w:style w:type="paragraph" w:customStyle="1" w:styleId="85">
    <w:name w:val="列表段落2"/>
    <w:basedOn w:val="1"/>
    <w:qFormat/>
    <w:uiPriority w:val="99"/>
    <w:pPr>
      <w:ind w:firstLine="420" w:firstLineChars="200"/>
    </w:pPr>
  </w:style>
  <w:style w:type="paragraph" w:customStyle="1" w:styleId="86">
    <w:name w:val="表 靠左"/>
    <w:basedOn w:val="87"/>
    <w:qFormat/>
    <w:uiPriority w:val="99"/>
    <w:pPr>
      <w:jc w:val="left"/>
    </w:pPr>
    <w:rPr>
      <w:rFonts w:ascii="宋体" w:hAnsi="宋体"/>
    </w:rPr>
  </w:style>
  <w:style w:type="paragraph" w:customStyle="1" w:styleId="87">
    <w:name w:val="表"/>
    <w:basedOn w:val="1"/>
    <w:next w:val="1"/>
    <w:qFormat/>
    <w:uiPriority w:val="7"/>
    <w:pPr>
      <w:jc w:val="center"/>
    </w:pPr>
    <w:rPr>
      <w:rFonts w:ascii="Calibri" w:hAnsi="Calibri"/>
    </w:rPr>
  </w:style>
  <w:style w:type="paragraph" w:customStyle="1" w:styleId="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75</Pages>
  <Words>41072</Words>
  <Characters>43143</Characters>
  <Lines>373</Lines>
  <Paragraphs>105</Paragraphs>
  <TotalTime>15</TotalTime>
  <ScaleCrop>false</ScaleCrop>
  <LinksUpToDate>false</LinksUpToDate>
  <CharactersWithSpaces>47144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2022-11-27T08:51:00Z</dcterms:created>
  <dc:creator>meimei</dc:creator>
  <cp:lastModifiedBy>Administrator</cp:lastModifiedBy>
  <cp:lastPrinted>2021-09-16T12:35:00Z</cp:lastPrinted>
  <dcterms:modified xsi:type="dcterms:W3CDTF">2025-03-21T02:33:51Z</dcterms:modified>
  <dc:title>辽宁省政府采购项目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388CA677498F49A8BE05D5AB479D66E2</vt:lpwstr>
  </property>
  <property fmtid="{D5CDD505-2E9C-101B-9397-08002B2CF9AE}" pid="4" name="KSOTemplateDocerSaveRecord">
    <vt:lpwstr>eyJoZGlkIjoiMTJiYWUyZDllYmQyM2RhOTE5YTM5Y2QyMmMyMGY0YWMiLCJ1c2VySWQiOiIyOTE0MzA2NjUifQ==</vt:lpwstr>
  </property>
</Properties>
</file>