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3DC28">
      <w:pPr>
        <w:shd w:val="clear"/>
        <w:spacing w:line="360" w:lineRule="auto"/>
        <w:jc w:val="both"/>
        <w:rPr>
          <w:rFonts w:hint="eastAsia" w:ascii="仿宋" w:hAnsi="仿宋" w:eastAsia="仿宋" w:cs="仿宋"/>
          <w:b/>
          <w:bCs/>
          <w:color w:val="auto"/>
          <w:kern w:val="0"/>
          <w:sz w:val="52"/>
          <w:szCs w:val="52"/>
          <w:highlight w:val="none"/>
          <w:lang w:val="en-US" w:eastAsia="zh"/>
        </w:rPr>
      </w:pPr>
    </w:p>
    <w:p w14:paraId="7D8B32CB">
      <w:pPr>
        <w:pStyle w:val="7"/>
        <w:rPr>
          <w:rFonts w:hint="eastAsia" w:ascii="仿宋" w:hAnsi="仿宋" w:eastAsia="仿宋" w:cs="仿宋"/>
          <w:lang w:val="en-US" w:eastAsia="zh"/>
        </w:rPr>
      </w:pPr>
    </w:p>
    <w:p w14:paraId="1D77928D">
      <w:pPr>
        <w:shd w:val="clear"/>
        <w:bidi w:val="0"/>
        <w:spacing w:line="360" w:lineRule="auto"/>
        <w:jc w:val="center"/>
        <w:rPr>
          <w:rFonts w:hint="eastAsia" w:ascii="仿宋" w:hAnsi="仿宋" w:eastAsia="仿宋" w:cs="仿宋"/>
          <w:color w:val="auto"/>
          <w:szCs w:val="44"/>
          <w:highlight w:val="none"/>
          <w:lang w:val="en-US" w:eastAsia="zh-CN"/>
        </w:rPr>
      </w:pPr>
      <w:r>
        <w:rPr>
          <w:rFonts w:hint="eastAsia" w:ascii="仿宋" w:hAnsi="仿宋" w:eastAsia="仿宋" w:cs="仿宋"/>
          <w:color w:val="auto"/>
          <w:sz w:val="44"/>
          <w:szCs w:val="44"/>
          <w:highlight w:val="none"/>
          <w:lang w:val="en-US" w:eastAsia="zh-CN"/>
        </w:rPr>
        <w:t>永胜县中医医院中药饮片采购项目公开招标</w:t>
      </w:r>
    </w:p>
    <w:p w14:paraId="4F87468C">
      <w:pPr>
        <w:shd w:val="clear"/>
        <w:spacing w:line="360" w:lineRule="auto"/>
        <w:rPr>
          <w:rFonts w:hint="eastAsia" w:ascii="仿宋" w:hAnsi="仿宋" w:eastAsia="仿宋" w:cs="仿宋"/>
          <w:color w:val="auto"/>
          <w:highlight w:val="none"/>
        </w:rPr>
      </w:pPr>
    </w:p>
    <w:p w14:paraId="1D0EF4DD">
      <w:pPr>
        <w:pStyle w:val="10"/>
        <w:rPr>
          <w:rFonts w:hint="eastAsia" w:ascii="仿宋" w:hAnsi="仿宋" w:eastAsia="仿宋" w:cs="仿宋"/>
          <w:color w:val="auto"/>
          <w:highlight w:val="none"/>
        </w:rPr>
      </w:pPr>
    </w:p>
    <w:p w14:paraId="313637AD">
      <w:pPr>
        <w:pStyle w:val="15"/>
        <w:rPr>
          <w:rFonts w:hint="eastAsia" w:ascii="仿宋" w:hAnsi="仿宋" w:eastAsia="仿宋" w:cs="仿宋"/>
          <w:color w:val="auto"/>
          <w:highlight w:val="none"/>
        </w:rPr>
      </w:pPr>
    </w:p>
    <w:p w14:paraId="0E992F4F">
      <w:pPr>
        <w:shd w:val="clear"/>
        <w:tabs>
          <w:tab w:val="left" w:pos="5190"/>
        </w:tabs>
        <w:spacing w:line="360" w:lineRule="auto"/>
        <w:jc w:val="center"/>
        <w:rPr>
          <w:rFonts w:hint="eastAsia" w:ascii="仿宋" w:hAnsi="仿宋" w:eastAsia="仿宋" w:cs="仿宋"/>
          <w:color w:val="auto"/>
          <w:sz w:val="36"/>
          <w:highlight w:val="none"/>
        </w:rPr>
      </w:pPr>
    </w:p>
    <w:p w14:paraId="1A896869">
      <w:pPr>
        <w:pStyle w:val="7"/>
        <w:rPr>
          <w:rFonts w:hint="eastAsia" w:ascii="仿宋" w:hAnsi="仿宋" w:eastAsia="仿宋" w:cs="仿宋"/>
        </w:rPr>
      </w:pPr>
    </w:p>
    <w:p w14:paraId="0AA81332">
      <w:pPr>
        <w:shd w:val="clear"/>
        <w:bidi w:val="0"/>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p>
    <w:p w14:paraId="580F0D9B">
      <w:pPr>
        <w:shd w:val="clear"/>
        <w:bidi w:val="0"/>
        <w:spacing w:line="360" w:lineRule="auto"/>
        <w:jc w:val="center"/>
        <w:rPr>
          <w:rFonts w:hint="eastAsia" w:ascii="仿宋" w:hAnsi="仿宋" w:eastAsia="仿宋" w:cs="仿宋"/>
          <w:color w:val="auto"/>
          <w:highlight w:val="none"/>
        </w:rPr>
      </w:pPr>
    </w:p>
    <w:p w14:paraId="3C43F7DF">
      <w:pPr>
        <w:shd w:val="clear"/>
        <w:bidi w:val="0"/>
        <w:spacing w:line="360" w:lineRule="auto"/>
        <w:jc w:val="center"/>
        <w:rPr>
          <w:rFonts w:hint="eastAsia" w:ascii="仿宋" w:hAnsi="仿宋" w:eastAsia="仿宋" w:cs="仿宋"/>
          <w:color w:val="0000FF"/>
          <w:sz w:val="32"/>
          <w:szCs w:val="32"/>
          <w:highlight w:val="none"/>
          <w:lang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eastAsia="zh-CN"/>
        </w:rPr>
        <w:t>LJZC2025-G1-00112-YNLB-0058</w:t>
      </w:r>
    </w:p>
    <w:p w14:paraId="6D718999">
      <w:pPr>
        <w:shd w:val="clear"/>
        <w:bidi w:val="0"/>
        <w:spacing w:line="360" w:lineRule="auto"/>
        <w:jc w:val="center"/>
        <w:rPr>
          <w:rFonts w:hint="eastAsia" w:ascii="仿宋" w:hAnsi="仿宋" w:eastAsia="仿宋" w:cs="仿宋"/>
          <w:color w:val="auto"/>
          <w:sz w:val="32"/>
          <w:szCs w:val="32"/>
          <w:highlight w:val="none"/>
          <w:lang w:eastAsia="zh-CN"/>
        </w:rPr>
      </w:pPr>
    </w:p>
    <w:p w14:paraId="4A0880C4">
      <w:pPr>
        <w:shd w:val="clear"/>
        <w:bidi w:val="0"/>
        <w:spacing w:line="360" w:lineRule="auto"/>
        <w:jc w:val="center"/>
        <w:rPr>
          <w:rFonts w:hint="eastAsia" w:ascii="仿宋" w:hAnsi="仿宋" w:eastAsia="仿宋" w:cs="仿宋"/>
          <w:color w:val="auto"/>
          <w:sz w:val="32"/>
          <w:szCs w:val="32"/>
          <w:highlight w:val="none"/>
          <w:lang w:eastAsia="zh-CN"/>
        </w:rPr>
      </w:pPr>
    </w:p>
    <w:p w14:paraId="53C94AFA">
      <w:pPr>
        <w:shd w:val="clear"/>
        <w:bidi w:val="0"/>
        <w:spacing w:line="360" w:lineRule="auto"/>
        <w:jc w:val="center"/>
        <w:rPr>
          <w:rFonts w:hint="eastAsia" w:ascii="仿宋" w:hAnsi="仿宋" w:eastAsia="仿宋" w:cs="仿宋"/>
          <w:color w:val="auto"/>
          <w:sz w:val="32"/>
          <w:szCs w:val="32"/>
          <w:highlight w:val="none"/>
          <w:lang w:eastAsia="zh-CN"/>
        </w:rPr>
      </w:pPr>
    </w:p>
    <w:p w14:paraId="087F785B">
      <w:pPr>
        <w:pStyle w:val="10"/>
        <w:rPr>
          <w:rFonts w:hint="eastAsia" w:ascii="仿宋" w:hAnsi="仿宋" w:eastAsia="仿宋" w:cs="仿宋"/>
          <w:color w:val="auto"/>
          <w:highlight w:val="none"/>
          <w:lang w:eastAsia="zh-CN"/>
        </w:rPr>
      </w:pPr>
    </w:p>
    <w:p w14:paraId="15BBF866">
      <w:pPr>
        <w:shd w:val="clear"/>
        <w:bidi w:val="0"/>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招标人</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永胜县中医医院</w:t>
      </w:r>
    </w:p>
    <w:p w14:paraId="27614994">
      <w:pPr>
        <w:shd w:val="clear"/>
        <w:bidi w:val="0"/>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eastAsia="zh-CN"/>
        </w:rPr>
        <w:t>采购代理机构</w:t>
      </w:r>
      <w:r>
        <w:rPr>
          <w:rFonts w:hint="eastAsia" w:ascii="仿宋" w:hAnsi="仿宋" w:eastAsia="仿宋" w:cs="仿宋"/>
          <w:color w:val="auto"/>
          <w:sz w:val="36"/>
          <w:szCs w:val="36"/>
          <w:highlight w:val="none"/>
        </w:rPr>
        <w:t>：云南蓝本招标咨询有限公司</w:t>
      </w:r>
    </w:p>
    <w:p w14:paraId="4ECD6E5E">
      <w:pPr>
        <w:shd w:val="clear"/>
        <w:bidi w:val="0"/>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36"/>
          <w:szCs w:val="36"/>
          <w:highlight w:val="none"/>
        </w:rPr>
        <w:t>日期：202</w:t>
      </w:r>
      <w:r>
        <w:rPr>
          <w:rFonts w:hint="eastAsia" w:ascii="仿宋" w:hAnsi="仿宋" w:eastAsia="仿宋" w:cs="仿宋"/>
          <w:color w:val="auto"/>
          <w:sz w:val="36"/>
          <w:szCs w:val="36"/>
          <w:highlight w:val="none"/>
          <w:lang w:val="en-US" w:eastAsia="zh-CN"/>
        </w:rPr>
        <w:t>5</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03</w:t>
      </w:r>
      <w:r>
        <w:rPr>
          <w:rFonts w:hint="eastAsia" w:ascii="仿宋" w:hAnsi="仿宋" w:eastAsia="仿宋" w:cs="仿宋"/>
          <w:color w:val="auto"/>
          <w:sz w:val="36"/>
          <w:szCs w:val="36"/>
          <w:highlight w:val="none"/>
        </w:rPr>
        <w:t>月</w:t>
      </w:r>
    </w:p>
    <w:p w14:paraId="0545B861">
      <w:pPr>
        <w:shd w:val="clear"/>
        <w:rPr>
          <w:rFonts w:hint="eastAsia" w:ascii="仿宋" w:hAnsi="仿宋" w:eastAsia="仿宋" w:cs="仿宋"/>
          <w:bCs/>
          <w:color w:val="auto"/>
          <w:kern w:val="0"/>
          <w:sz w:val="44"/>
          <w:szCs w:val="44"/>
          <w:highlight w:val="none"/>
        </w:rPr>
      </w:pPr>
      <w:r>
        <w:rPr>
          <w:rFonts w:hint="eastAsia" w:ascii="仿宋" w:hAnsi="仿宋" w:eastAsia="仿宋" w:cs="仿宋"/>
          <w:bCs/>
          <w:color w:val="auto"/>
          <w:kern w:val="0"/>
          <w:sz w:val="44"/>
          <w:szCs w:val="44"/>
          <w:highlight w:val="none"/>
        </w:rPr>
        <w:br w:type="page"/>
      </w:r>
    </w:p>
    <w:p w14:paraId="3D7C2922">
      <w:pPr>
        <w:pStyle w:val="14"/>
        <w:shd w:val="clear"/>
        <w:rPr>
          <w:rFonts w:hint="eastAsia" w:ascii="仿宋" w:hAnsi="仿宋" w:eastAsia="仿宋" w:cs="仿宋"/>
          <w:color w:val="auto"/>
          <w:highlight w:val="none"/>
        </w:rPr>
      </w:pPr>
    </w:p>
    <w:p w14:paraId="46A9703F">
      <w:pPr>
        <w:pStyle w:val="10"/>
        <w:shd w:val="clear"/>
        <w:rPr>
          <w:rFonts w:hint="eastAsia" w:ascii="仿宋" w:hAnsi="仿宋" w:eastAsia="仿宋" w:cs="仿宋"/>
          <w:color w:val="auto"/>
          <w:highlight w:val="none"/>
        </w:rPr>
      </w:pPr>
    </w:p>
    <w:tbl>
      <w:tblPr>
        <w:tblStyle w:val="23"/>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3276"/>
        <w:gridCol w:w="3153"/>
      </w:tblGrid>
      <w:tr w14:paraId="2BC1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9" w:hRule="atLeast"/>
          <w:jc w:val="center"/>
        </w:trPr>
        <w:tc>
          <w:tcPr>
            <w:tcW w:w="9708" w:type="dxa"/>
            <w:gridSpan w:val="3"/>
          </w:tcPr>
          <w:p w14:paraId="5E0D7D44">
            <w:pPr>
              <w:pStyle w:val="10"/>
              <w:shd w:val="clear"/>
              <w:jc w:val="center"/>
              <w:rPr>
                <w:rFonts w:hint="eastAsia" w:ascii="仿宋" w:hAnsi="仿宋" w:eastAsia="仿宋" w:cs="仿宋"/>
                <w:color w:val="auto"/>
                <w:sz w:val="40"/>
                <w:szCs w:val="28"/>
                <w:highlight w:val="none"/>
              </w:rPr>
            </w:pPr>
          </w:p>
          <w:p w14:paraId="7711C907">
            <w:pPr>
              <w:pStyle w:val="10"/>
              <w:shd w:val="clear"/>
              <w:jc w:val="center"/>
              <w:rPr>
                <w:rFonts w:hint="eastAsia" w:ascii="仿宋" w:hAnsi="仿宋" w:eastAsia="仿宋" w:cs="仿宋"/>
                <w:color w:val="auto"/>
                <w:sz w:val="40"/>
                <w:szCs w:val="28"/>
                <w:highlight w:val="none"/>
              </w:rPr>
            </w:pPr>
          </w:p>
          <w:p w14:paraId="3F17F49B">
            <w:pPr>
              <w:pStyle w:val="10"/>
              <w:shd w:val="clear"/>
              <w:jc w:val="center"/>
              <w:rPr>
                <w:rFonts w:hint="eastAsia" w:ascii="仿宋" w:hAnsi="仿宋" w:eastAsia="仿宋" w:cs="仿宋"/>
                <w:color w:val="auto"/>
                <w:sz w:val="40"/>
                <w:szCs w:val="28"/>
                <w:highlight w:val="none"/>
              </w:rPr>
            </w:pPr>
          </w:p>
          <w:p w14:paraId="62F14A7B">
            <w:pPr>
              <w:pStyle w:val="10"/>
              <w:shd w:val="clear"/>
              <w:jc w:val="center"/>
              <w:rPr>
                <w:rFonts w:hint="eastAsia" w:ascii="仿宋" w:hAnsi="仿宋" w:eastAsia="仿宋" w:cs="仿宋"/>
                <w:color w:val="auto"/>
                <w:sz w:val="40"/>
                <w:szCs w:val="28"/>
                <w:highlight w:val="none"/>
              </w:rPr>
            </w:pPr>
          </w:p>
          <w:p w14:paraId="44E3FA7F">
            <w:pPr>
              <w:pStyle w:val="10"/>
              <w:shd w:val="clear"/>
              <w:spacing w:line="360" w:lineRule="auto"/>
              <w:jc w:val="center"/>
              <w:rPr>
                <w:rFonts w:hint="eastAsia" w:ascii="仿宋" w:hAnsi="仿宋" w:eastAsia="仿宋" w:cs="仿宋"/>
                <w:color w:val="auto"/>
                <w:sz w:val="40"/>
                <w:szCs w:val="28"/>
                <w:highlight w:val="none"/>
                <w:lang w:val="en-US" w:eastAsia="zh-CN"/>
              </w:rPr>
            </w:pPr>
            <w:r>
              <w:rPr>
                <w:rFonts w:hint="eastAsia" w:ascii="仿宋" w:hAnsi="仿宋" w:eastAsia="仿宋" w:cs="仿宋"/>
                <w:color w:val="auto"/>
                <w:sz w:val="44"/>
                <w:szCs w:val="44"/>
                <w:highlight w:val="none"/>
                <w:lang w:val="en-US" w:eastAsia="zh-CN"/>
              </w:rPr>
              <w:t>永胜县中医医院中药饮片采购项目公开招标</w:t>
            </w:r>
          </w:p>
          <w:p w14:paraId="234E0DDF">
            <w:pPr>
              <w:pStyle w:val="10"/>
              <w:shd w:val="clear"/>
              <w:spacing w:line="360" w:lineRule="auto"/>
              <w:rPr>
                <w:rFonts w:hint="eastAsia" w:ascii="仿宋" w:hAnsi="仿宋" w:eastAsia="仿宋" w:cs="仿宋"/>
                <w:color w:val="auto"/>
                <w:highlight w:val="none"/>
              </w:rPr>
            </w:pPr>
          </w:p>
          <w:p w14:paraId="5F9971E6">
            <w:pPr>
              <w:pStyle w:val="10"/>
              <w:shd w:val="clear"/>
              <w:spacing w:line="360" w:lineRule="auto"/>
              <w:rPr>
                <w:rFonts w:hint="eastAsia" w:ascii="仿宋" w:hAnsi="仿宋" w:eastAsia="仿宋" w:cs="仿宋"/>
                <w:color w:val="auto"/>
                <w:highlight w:val="none"/>
              </w:rPr>
            </w:pPr>
          </w:p>
          <w:p w14:paraId="09928693">
            <w:pPr>
              <w:shd w:val="clea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72"/>
                <w:szCs w:val="72"/>
                <w:highlight w:val="none"/>
              </w:rPr>
              <w:t>招标文件</w:t>
            </w:r>
          </w:p>
        </w:tc>
      </w:tr>
      <w:tr w14:paraId="1D27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708" w:type="dxa"/>
            <w:gridSpan w:val="3"/>
            <w:vAlign w:val="center"/>
          </w:tcPr>
          <w:p w14:paraId="40203581">
            <w:pPr>
              <w:shd w:val="clea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highlight w:val="none"/>
                <w:lang w:eastAsia="zh-CN"/>
              </w:rPr>
              <w:t>永胜县中医医院中药饮片采购项目</w:t>
            </w:r>
          </w:p>
          <w:p w14:paraId="5AE76B47">
            <w:pPr>
              <w:shd w:val="clear"/>
              <w:rPr>
                <w:rFonts w:hint="eastAsia" w:ascii="仿宋" w:hAnsi="仿宋" w:eastAsia="仿宋" w:cs="仿宋"/>
                <w:b/>
                <w:bCs/>
                <w:color w:val="auto"/>
                <w:sz w:val="28"/>
                <w:szCs w:val="28"/>
                <w:highlight w:val="none"/>
                <w:u w:val="singl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LJZC2025-G1-00112-YNLB-0058</w:t>
            </w:r>
          </w:p>
        </w:tc>
      </w:tr>
      <w:tr w14:paraId="430C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79" w:type="dxa"/>
            <w:vAlign w:val="center"/>
          </w:tcPr>
          <w:p w14:paraId="233553E2">
            <w:pPr>
              <w:shd w:val="clear"/>
              <w:jc w:val="left"/>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编制：</w:t>
            </w:r>
            <w:r>
              <w:rPr>
                <w:rFonts w:hint="eastAsia" w:ascii="仿宋" w:hAnsi="仿宋" w:eastAsia="仿宋" w:cs="仿宋"/>
                <w:color w:val="auto"/>
                <w:sz w:val="28"/>
                <w:highlight w:val="none"/>
                <w:lang w:val="en-US" w:eastAsia="zh-CN"/>
              </w:rPr>
              <w:t>杨帆</w:t>
            </w:r>
          </w:p>
        </w:tc>
        <w:tc>
          <w:tcPr>
            <w:tcW w:w="3276" w:type="dxa"/>
            <w:vAlign w:val="center"/>
          </w:tcPr>
          <w:p w14:paraId="33017A81">
            <w:pPr>
              <w:pStyle w:val="14"/>
              <w:shd w:val="clear"/>
              <w:snapToGrid w:val="0"/>
              <w:jc w:val="left"/>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校核：</w:t>
            </w:r>
            <w:r>
              <w:rPr>
                <w:rFonts w:hint="eastAsia" w:ascii="仿宋" w:hAnsi="仿宋" w:eastAsia="仿宋" w:cs="仿宋"/>
                <w:color w:val="auto"/>
                <w:sz w:val="28"/>
                <w:highlight w:val="none"/>
                <w:lang w:val="en-US" w:eastAsia="zh-CN"/>
              </w:rPr>
              <w:t>王易文</w:t>
            </w:r>
          </w:p>
        </w:tc>
        <w:tc>
          <w:tcPr>
            <w:tcW w:w="3153" w:type="dxa"/>
            <w:vAlign w:val="center"/>
          </w:tcPr>
          <w:p w14:paraId="34D55B01">
            <w:pPr>
              <w:pStyle w:val="14"/>
              <w:shd w:val="clear"/>
              <w:snapToGrid w:val="0"/>
              <w:ind w:firstLine="562"/>
              <w:jc w:val="left"/>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复核：</w:t>
            </w:r>
            <w:r>
              <w:rPr>
                <w:rFonts w:hint="eastAsia" w:ascii="仿宋" w:hAnsi="仿宋" w:eastAsia="仿宋" w:cs="仿宋"/>
                <w:color w:val="auto"/>
                <w:sz w:val="28"/>
                <w:highlight w:val="none"/>
                <w:lang w:val="en-US" w:eastAsia="zh-CN"/>
              </w:rPr>
              <w:t>李宏英</w:t>
            </w:r>
          </w:p>
        </w:tc>
      </w:tr>
      <w:tr w14:paraId="798F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708" w:type="dxa"/>
            <w:gridSpan w:val="3"/>
            <w:vAlign w:val="center"/>
          </w:tcPr>
          <w:p w14:paraId="04D943F6">
            <w:pPr>
              <w:shd w:val="clear"/>
              <w:jc w:val="left"/>
              <w:rPr>
                <w:rFonts w:hint="eastAsia" w:ascii="仿宋" w:hAnsi="仿宋" w:eastAsia="仿宋" w:cs="仿宋"/>
                <w:b/>
                <w:bCs/>
                <w:color w:val="auto"/>
                <w:sz w:val="28"/>
                <w:highlight w:val="none"/>
                <w:u w:val="single"/>
                <w:lang w:eastAsia="zh-CN"/>
              </w:rPr>
            </w:pPr>
            <w:r>
              <w:rPr>
                <w:rFonts w:hint="eastAsia" w:ascii="仿宋" w:hAnsi="仿宋" w:eastAsia="仿宋" w:cs="仿宋"/>
                <w:color w:val="auto"/>
                <w:sz w:val="28"/>
                <w:highlight w:val="none"/>
                <w:lang w:eastAsia="zh-CN"/>
              </w:rPr>
              <w:t>招标人</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eastAsia="zh-CN"/>
              </w:rPr>
              <w:t>永胜县中医医院</w:t>
            </w:r>
          </w:p>
        </w:tc>
      </w:tr>
      <w:tr w14:paraId="34CC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08" w:type="dxa"/>
            <w:gridSpan w:val="3"/>
            <w:vAlign w:val="center"/>
          </w:tcPr>
          <w:p w14:paraId="762BA8CC">
            <w:pPr>
              <w:shd w:val="clear"/>
              <w:spacing w:line="360" w:lineRule="auto"/>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编制</w:t>
            </w:r>
            <w:r>
              <w:rPr>
                <w:rFonts w:hint="eastAsia" w:ascii="仿宋" w:hAnsi="仿宋" w:eastAsia="仿宋" w:cs="仿宋"/>
                <w:color w:val="auto"/>
                <w:sz w:val="28"/>
                <w:szCs w:val="28"/>
                <w:highlight w:val="none"/>
              </w:rPr>
              <w:t>日期：202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p>
        </w:tc>
      </w:tr>
    </w:tbl>
    <w:p w14:paraId="27357E2C">
      <w:pPr>
        <w:widowControl/>
        <w:shd w:val="clear"/>
        <w:jc w:val="center"/>
        <w:rPr>
          <w:rFonts w:hint="eastAsia" w:ascii="仿宋" w:hAnsi="仿宋" w:eastAsia="仿宋" w:cs="仿宋"/>
          <w:bCs/>
          <w:color w:val="auto"/>
          <w:kern w:val="0"/>
          <w:sz w:val="44"/>
          <w:szCs w:val="44"/>
          <w:highlight w:val="none"/>
        </w:rPr>
        <w:sectPr>
          <w:headerReference r:id="rId3" w:type="default"/>
          <w:footerReference r:id="rId4" w:type="default"/>
          <w:pgSz w:w="11906" w:h="16838"/>
          <w:pgMar w:top="1418" w:right="1247" w:bottom="1418" w:left="1247" w:header="680" w:footer="680" w:gutter="0"/>
          <w:pgBorders>
            <w:top w:val="none" w:sz="0" w:space="0"/>
            <w:left w:val="none" w:sz="0" w:space="0"/>
            <w:bottom w:val="none" w:sz="0" w:space="0"/>
            <w:right w:val="none" w:sz="0" w:space="0"/>
          </w:pgBorders>
          <w:pgNumType w:start="1"/>
          <w:cols w:space="720" w:num="1"/>
          <w:docGrid w:linePitch="312" w:charSpace="0"/>
        </w:sectPr>
      </w:pPr>
    </w:p>
    <w:p w14:paraId="21C00A95">
      <w:pPr>
        <w:shd w:val="clea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171F0139">
      <w:pPr>
        <w:pStyle w:val="18"/>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_Toc6136 </w:instrText>
      </w:r>
      <w:r>
        <w:rPr>
          <w:rFonts w:hint="eastAsia" w:ascii="仿宋" w:hAnsi="仿宋" w:eastAsia="仿宋" w:cs="仿宋"/>
          <w:highlight w:val="none"/>
        </w:rPr>
        <w:fldChar w:fldCharType="separate"/>
      </w:r>
      <w:r>
        <w:rPr>
          <w:rFonts w:hint="eastAsia" w:ascii="仿宋" w:hAnsi="仿宋" w:eastAsia="仿宋" w:cs="仿宋"/>
          <w:highlight w:val="none"/>
        </w:rPr>
        <w:t>第一章</w:t>
      </w:r>
      <w:r>
        <w:rPr>
          <w:rFonts w:hint="eastAsia" w:ascii="仿宋" w:hAnsi="仿宋" w:eastAsia="仿宋" w:cs="仿宋"/>
          <w:highlight w:val="none"/>
          <w:lang w:val="en-US" w:eastAsia="zh-CN"/>
        </w:rPr>
        <w:t xml:space="preserve">  </w:t>
      </w:r>
      <w:r>
        <w:rPr>
          <w:rFonts w:hint="eastAsia" w:ascii="仿宋" w:hAnsi="仿宋" w:eastAsia="仿宋" w:cs="仿宋"/>
          <w:highlight w:val="none"/>
        </w:rPr>
        <w:t>招标公告</w:t>
      </w:r>
      <w:r>
        <w:tab/>
      </w:r>
      <w:r>
        <w:fldChar w:fldCharType="begin"/>
      </w:r>
      <w:r>
        <w:instrText xml:space="preserve"> PAGEREF _Toc6136 \h </w:instrText>
      </w:r>
      <w:r>
        <w:fldChar w:fldCharType="separate"/>
      </w:r>
      <w:r>
        <w:t>2</w:t>
      </w:r>
      <w:r>
        <w:fldChar w:fldCharType="end"/>
      </w:r>
      <w:r>
        <w:rPr>
          <w:rFonts w:hint="eastAsia" w:ascii="仿宋" w:hAnsi="仿宋" w:eastAsia="仿宋" w:cs="仿宋"/>
          <w:color w:val="auto"/>
          <w:highlight w:val="none"/>
        </w:rPr>
        <w:fldChar w:fldCharType="end"/>
      </w:r>
    </w:p>
    <w:p w14:paraId="7DF8A546">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_Toc29469 </w:instrText>
      </w:r>
      <w:r>
        <w:rPr>
          <w:rFonts w:hint="eastAsia" w:ascii="仿宋" w:hAnsi="仿宋" w:eastAsia="仿宋" w:cs="仿宋"/>
          <w:highlight w:val="none"/>
        </w:rPr>
        <w:fldChar w:fldCharType="separate"/>
      </w:r>
      <w:r>
        <w:rPr>
          <w:rFonts w:hint="eastAsia" w:ascii="仿宋" w:hAnsi="仿宋" w:eastAsia="仿宋" w:cs="仿宋"/>
          <w:szCs w:val="30"/>
          <w:highlight w:val="none"/>
        </w:rPr>
        <w:t>一、项目基本情况</w:t>
      </w:r>
      <w:r>
        <w:tab/>
      </w:r>
      <w:r>
        <w:fldChar w:fldCharType="begin"/>
      </w:r>
      <w:r>
        <w:instrText xml:space="preserve"> PAGEREF _Toc29469 \h </w:instrText>
      </w:r>
      <w:r>
        <w:fldChar w:fldCharType="separate"/>
      </w:r>
      <w:r>
        <w:t>2</w:t>
      </w:r>
      <w:r>
        <w:fldChar w:fldCharType="end"/>
      </w:r>
      <w:r>
        <w:rPr>
          <w:rFonts w:hint="eastAsia" w:ascii="仿宋" w:hAnsi="仿宋" w:eastAsia="仿宋" w:cs="仿宋"/>
          <w:color w:val="auto"/>
          <w:highlight w:val="none"/>
        </w:rPr>
        <w:fldChar w:fldCharType="end"/>
      </w:r>
    </w:p>
    <w:p w14:paraId="7C5AEA1C">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_Toc16644 </w:instrText>
      </w:r>
      <w:r>
        <w:rPr>
          <w:rFonts w:hint="eastAsia" w:ascii="仿宋" w:hAnsi="仿宋" w:eastAsia="仿宋" w:cs="仿宋"/>
          <w:highlight w:val="none"/>
        </w:rPr>
        <w:fldChar w:fldCharType="separate"/>
      </w:r>
      <w:r>
        <w:rPr>
          <w:rFonts w:hint="eastAsia" w:ascii="仿宋" w:hAnsi="仿宋" w:eastAsia="仿宋" w:cs="仿宋"/>
          <w:szCs w:val="30"/>
          <w:highlight w:val="none"/>
        </w:rPr>
        <w:t>二、申请人的资格要求</w:t>
      </w:r>
      <w:r>
        <w:tab/>
      </w:r>
      <w:r>
        <w:fldChar w:fldCharType="begin"/>
      </w:r>
      <w:r>
        <w:instrText xml:space="preserve"> PAGEREF _Toc16644 \h </w:instrText>
      </w:r>
      <w:r>
        <w:fldChar w:fldCharType="separate"/>
      </w:r>
      <w:r>
        <w:t>2</w:t>
      </w:r>
      <w:r>
        <w:fldChar w:fldCharType="end"/>
      </w:r>
      <w:r>
        <w:rPr>
          <w:rFonts w:hint="eastAsia" w:ascii="仿宋" w:hAnsi="仿宋" w:eastAsia="仿宋" w:cs="仿宋"/>
          <w:color w:val="auto"/>
          <w:highlight w:val="none"/>
        </w:rPr>
        <w:fldChar w:fldCharType="end"/>
      </w:r>
    </w:p>
    <w:p w14:paraId="41F3586A">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_Toc29180 </w:instrText>
      </w:r>
      <w:r>
        <w:rPr>
          <w:rFonts w:hint="eastAsia" w:ascii="仿宋" w:hAnsi="仿宋" w:eastAsia="仿宋" w:cs="仿宋"/>
          <w:highlight w:val="none"/>
        </w:rPr>
        <w:fldChar w:fldCharType="separate"/>
      </w:r>
      <w:r>
        <w:rPr>
          <w:rFonts w:hint="eastAsia" w:ascii="仿宋" w:hAnsi="仿宋" w:eastAsia="仿宋" w:cs="仿宋"/>
          <w:szCs w:val="30"/>
          <w:highlight w:val="none"/>
        </w:rPr>
        <w:t>三、获取招标文件</w:t>
      </w:r>
      <w:r>
        <w:tab/>
      </w:r>
      <w:r>
        <w:fldChar w:fldCharType="begin"/>
      </w:r>
      <w:r>
        <w:instrText xml:space="preserve"> PAGEREF _Toc29180 \h </w:instrText>
      </w:r>
      <w:r>
        <w:fldChar w:fldCharType="separate"/>
      </w:r>
      <w:r>
        <w:t>4</w:t>
      </w:r>
      <w:r>
        <w:fldChar w:fldCharType="end"/>
      </w:r>
      <w:r>
        <w:rPr>
          <w:rFonts w:hint="eastAsia" w:ascii="仿宋" w:hAnsi="仿宋" w:eastAsia="仿宋" w:cs="仿宋"/>
          <w:color w:val="auto"/>
          <w:highlight w:val="none"/>
        </w:rPr>
        <w:fldChar w:fldCharType="end"/>
      </w:r>
    </w:p>
    <w:p w14:paraId="35C8EE95">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_Toc9470 </w:instrText>
      </w:r>
      <w:r>
        <w:rPr>
          <w:rFonts w:hint="eastAsia" w:ascii="仿宋" w:hAnsi="仿宋" w:eastAsia="仿宋" w:cs="仿宋"/>
          <w:highlight w:val="none"/>
        </w:rPr>
        <w:fldChar w:fldCharType="separate"/>
      </w:r>
      <w:r>
        <w:rPr>
          <w:rFonts w:hint="eastAsia" w:ascii="仿宋" w:hAnsi="仿宋" w:eastAsia="仿宋" w:cs="仿宋"/>
          <w:szCs w:val="30"/>
          <w:highlight w:val="none"/>
        </w:rPr>
        <w:t>四、提交投标文件截止时间、开标时间和地点</w:t>
      </w:r>
      <w:r>
        <w:tab/>
      </w:r>
      <w:r>
        <w:fldChar w:fldCharType="begin"/>
      </w:r>
      <w:r>
        <w:instrText xml:space="preserve"> PAGEREF _Toc9470 \h </w:instrText>
      </w:r>
      <w:r>
        <w:fldChar w:fldCharType="separate"/>
      </w:r>
      <w:r>
        <w:t>4</w:t>
      </w:r>
      <w:r>
        <w:fldChar w:fldCharType="end"/>
      </w:r>
      <w:r>
        <w:rPr>
          <w:rFonts w:hint="eastAsia" w:ascii="仿宋" w:hAnsi="仿宋" w:eastAsia="仿宋" w:cs="仿宋"/>
          <w:color w:val="auto"/>
          <w:highlight w:val="none"/>
        </w:rPr>
        <w:fldChar w:fldCharType="end"/>
      </w:r>
    </w:p>
    <w:p w14:paraId="2FB1B8FF">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_Toc14443 </w:instrText>
      </w:r>
      <w:r>
        <w:rPr>
          <w:rFonts w:hint="eastAsia" w:ascii="仿宋" w:hAnsi="仿宋" w:eastAsia="仿宋" w:cs="仿宋"/>
          <w:highlight w:val="none"/>
        </w:rPr>
        <w:fldChar w:fldCharType="separate"/>
      </w:r>
      <w:r>
        <w:rPr>
          <w:rFonts w:hint="eastAsia" w:ascii="仿宋" w:hAnsi="仿宋" w:eastAsia="仿宋" w:cs="仿宋"/>
          <w:szCs w:val="30"/>
          <w:highlight w:val="none"/>
        </w:rPr>
        <w:t>五、公告期限</w:t>
      </w:r>
      <w:r>
        <w:tab/>
      </w:r>
      <w:r>
        <w:fldChar w:fldCharType="begin"/>
      </w:r>
      <w:r>
        <w:instrText xml:space="preserve"> PAGEREF _Toc14443 \h </w:instrText>
      </w:r>
      <w:r>
        <w:fldChar w:fldCharType="separate"/>
      </w:r>
      <w:r>
        <w:t>4</w:t>
      </w:r>
      <w:r>
        <w:fldChar w:fldCharType="end"/>
      </w:r>
      <w:r>
        <w:rPr>
          <w:rFonts w:hint="eastAsia" w:ascii="仿宋" w:hAnsi="仿宋" w:eastAsia="仿宋" w:cs="仿宋"/>
          <w:color w:val="auto"/>
          <w:highlight w:val="none"/>
        </w:rPr>
        <w:fldChar w:fldCharType="end"/>
      </w:r>
    </w:p>
    <w:p w14:paraId="43BBB0AD">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_Toc15932 </w:instrText>
      </w:r>
      <w:r>
        <w:rPr>
          <w:rFonts w:hint="eastAsia" w:ascii="仿宋" w:hAnsi="仿宋" w:eastAsia="仿宋" w:cs="仿宋"/>
          <w:highlight w:val="none"/>
        </w:rPr>
        <w:fldChar w:fldCharType="separate"/>
      </w:r>
      <w:r>
        <w:rPr>
          <w:rFonts w:hint="eastAsia" w:ascii="仿宋" w:hAnsi="仿宋" w:eastAsia="仿宋" w:cs="仿宋"/>
          <w:szCs w:val="30"/>
          <w:highlight w:val="none"/>
        </w:rPr>
        <w:t>六、其他补充事宜</w:t>
      </w:r>
      <w:r>
        <w:tab/>
      </w:r>
      <w:r>
        <w:fldChar w:fldCharType="begin"/>
      </w:r>
      <w:r>
        <w:instrText xml:space="preserve"> PAGEREF _Toc15932 \h </w:instrText>
      </w:r>
      <w:r>
        <w:fldChar w:fldCharType="separate"/>
      </w:r>
      <w:r>
        <w:t>4</w:t>
      </w:r>
      <w:r>
        <w:fldChar w:fldCharType="end"/>
      </w:r>
      <w:r>
        <w:rPr>
          <w:rFonts w:hint="eastAsia" w:ascii="仿宋" w:hAnsi="仿宋" w:eastAsia="仿宋" w:cs="仿宋"/>
          <w:color w:val="auto"/>
          <w:highlight w:val="none"/>
        </w:rPr>
        <w:fldChar w:fldCharType="end"/>
      </w:r>
    </w:p>
    <w:p w14:paraId="085102BE">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_Toc23599 </w:instrText>
      </w:r>
      <w:r>
        <w:rPr>
          <w:rFonts w:hint="eastAsia" w:ascii="仿宋" w:hAnsi="仿宋" w:eastAsia="仿宋" w:cs="仿宋"/>
          <w:highlight w:val="none"/>
        </w:rPr>
        <w:fldChar w:fldCharType="separate"/>
      </w:r>
      <w:r>
        <w:rPr>
          <w:rFonts w:hint="eastAsia" w:ascii="仿宋" w:hAnsi="仿宋" w:eastAsia="仿宋" w:cs="仿宋"/>
          <w:szCs w:val="30"/>
          <w:highlight w:val="none"/>
        </w:rPr>
        <w:t>七、对本次招标提出询问，请按以下方式联系</w:t>
      </w:r>
      <w:r>
        <w:tab/>
      </w:r>
      <w:r>
        <w:fldChar w:fldCharType="begin"/>
      </w:r>
      <w:r>
        <w:instrText xml:space="preserve"> PAGEREF _Toc23599 \h </w:instrText>
      </w:r>
      <w:r>
        <w:fldChar w:fldCharType="separate"/>
      </w:r>
      <w:r>
        <w:t>5</w:t>
      </w:r>
      <w:r>
        <w:fldChar w:fldCharType="end"/>
      </w:r>
      <w:r>
        <w:rPr>
          <w:rFonts w:hint="eastAsia" w:ascii="仿宋" w:hAnsi="仿宋" w:eastAsia="仿宋" w:cs="仿宋"/>
          <w:color w:val="auto"/>
          <w:highlight w:val="none"/>
        </w:rPr>
        <w:fldChar w:fldCharType="end"/>
      </w:r>
    </w:p>
    <w:p w14:paraId="77E406B1">
      <w:pPr>
        <w:pStyle w:val="18"/>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_Toc25871 </w:instrText>
      </w:r>
      <w:r>
        <w:rPr>
          <w:rFonts w:hint="eastAsia" w:ascii="仿宋" w:hAnsi="仿宋" w:eastAsia="仿宋" w:cs="仿宋"/>
          <w:highlight w:val="none"/>
        </w:rPr>
        <w:fldChar w:fldCharType="separate"/>
      </w:r>
      <w:r>
        <w:rPr>
          <w:rFonts w:hint="eastAsia" w:ascii="仿宋" w:hAnsi="仿宋" w:eastAsia="仿宋" w:cs="仿宋"/>
          <w:highlight w:val="none"/>
        </w:rPr>
        <w:t>第二章</w:t>
      </w:r>
      <w:r>
        <w:rPr>
          <w:rFonts w:hint="eastAsia" w:ascii="仿宋" w:hAnsi="仿宋" w:eastAsia="仿宋" w:cs="仿宋"/>
          <w:highlight w:val="none"/>
          <w:lang w:val="en-US" w:eastAsia="zh-CN"/>
        </w:rPr>
        <w:t xml:space="preserve">  </w:t>
      </w:r>
      <w:r>
        <w:rPr>
          <w:rFonts w:hint="eastAsia" w:ascii="仿宋" w:hAnsi="仿宋" w:eastAsia="仿宋" w:cs="仿宋"/>
          <w:spacing w:val="10"/>
          <w:highlight w:val="none"/>
        </w:rPr>
        <w:t>投标人</w:t>
      </w:r>
      <w:r>
        <w:rPr>
          <w:rFonts w:hint="eastAsia" w:ascii="仿宋" w:hAnsi="仿宋" w:eastAsia="仿宋" w:cs="仿宋"/>
          <w:highlight w:val="none"/>
        </w:rPr>
        <w:t>须知</w:t>
      </w:r>
      <w:r>
        <w:tab/>
      </w:r>
      <w:r>
        <w:fldChar w:fldCharType="begin"/>
      </w:r>
      <w:r>
        <w:instrText xml:space="preserve"> PAGEREF _Toc25871 \h </w:instrText>
      </w:r>
      <w:r>
        <w:fldChar w:fldCharType="separate"/>
      </w:r>
      <w:r>
        <w:t>6</w:t>
      </w:r>
      <w:r>
        <w:fldChar w:fldCharType="end"/>
      </w:r>
      <w:r>
        <w:rPr>
          <w:rFonts w:hint="eastAsia" w:ascii="仿宋" w:hAnsi="仿宋" w:eastAsia="仿宋" w:cs="仿宋"/>
          <w:color w:val="auto"/>
          <w:highlight w:val="none"/>
        </w:rPr>
        <w:fldChar w:fldCharType="end"/>
      </w:r>
    </w:p>
    <w:p w14:paraId="6C96B4C4">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_Toc3956 </w:instrText>
      </w:r>
      <w:r>
        <w:rPr>
          <w:rFonts w:hint="eastAsia" w:ascii="仿宋" w:hAnsi="仿宋" w:eastAsia="仿宋" w:cs="仿宋"/>
          <w:highlight w:val="none"/>
        </w:rPr>
        <w:fldChar w:fldCharType="separate"/>
      </w:r>
      <w:r>
        <w:rPr>
          <w:rFonts w:hint="eastAsia" w:ascii="仿宋" w:hAnsi="仿宋" w:eastAsia="仿宋" w:cs="仿宋"/>
          <w:spacing w:val="10"/>
          <w:highlight w:val="none"/>
        </w:rPr>
        <w:t>投标人</w:t>
      </w:r>
      <w:r>
        <w:rPr>
          <w:rFonts w:hint="eastAsia" w:ascii="仿宋" w:hAnsi="仿宋" w:eastAsia="仿宋" w:cs="仿宋"/>
          <w:highlight w:val="none"/>
        </w:rPr>
        <w:t>须知前附表</w:t>
      </w:r>
      <w:r>
        <w:tab/>
      </w:r>
      <w:r>
        <w:fldChar w:fldCharType="begin"/>
      </w:r>
      <w:r>
        <w:instrText xml:space="preserve"> PAGEREF _Toc3956 \h </w:instrText>
      </w:r>
      <w:r>
        <w:fldChar w:fldCharType="separate"/>
      </w:r>
      <w:r>
        <w:t>6</w:t>
      </w:r>
      <w:r>
        <w:fldChar w:fldCharType="end"/>
      </w:r>
      <w:r>
        <w:rPr>
          <w:rFonts w:hint="eastAsia" w:ascii="仿宋" w:hAnsi="仿宋" w:eastAsia="仿宋" w:cs="仿宋"/>
          <w:color w:val="auto"/>
          <w:highlight w:val="none"/>
        </w:rPr>
        <w:fldChar w:fldCharType="end"/>
      </w:r>
    </w:p>
    <w:p w14:paraId="4AE97146">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_Toc14762 </w:instrText>
      </w:r>
      <w:r>
        <w:rPr>
          <w:rFonts w:hint="eastAsia" w:ascii="仿宋" w:hAnsi="仿宋" w:eastAsia="仿宋" w:cs="仿宋"/>
          <w:highlight w:val="none"/>
        </w:rPr>
        <w:fldChar w:fldCharType="separate"/>
      </w:r>
      <w:r>
        <w:rPr>
          <w:rFonts w:hint="eastAsia" w:ascii="仿宋" w:hAnsi="仿宋" w:eastAsia="仿宋" w:cs="仿宋"/>
          <w:szCs w:val="30"/>
          <w:highlight w:val="none"/>
        </w:rPr>
        <w:t>一、总则</w:t>
      </w:r>
      <w:r>
        <w:tab/>
      </w:r>
      <w:r>
        <w:fldChar w:fldCharType="begin"/>
      </w:r>
      <w:r>
        <w:instrText xml:space="preserve"> PAGEREF _Toc14762 \h </w:instrText>
      </w:r>
      <w:r>
        <w:fldChar w:fldCharType="separate"/>
      </w:r>
      <w:r>
        <w:t>11</w:t>
      </w:r>
      <w:r>
        <w:fldChar w:fldCharType="end"/>
      </w:r>
      <w:r>
        <w:rPr>
          <w:rFonts w:hint="eastAsia" w:ascii="仿宋" w:hAnsi="仿宋" w:eastAsia="仿宋" w:cs="仿宋"/>
          <w:color w:val="auto"/>
          <w:highlight w:val="none"/>
        </w:rPr>
        <w:fldChar w:fldCharType="end"/>
      </w:r>
    </w:p>
    <w:p w14:paraId="696BFA6D">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_Toc5511 </w:instrText>
      </w:r>
      <w:r>
        <w:rPr>
          <w:rFonts w:hint="eastAsia" w:ascii="仿宋" w:hAnsi="仿宋" w:eastAsia="仿宋" w:cs="仿宋"/>
          <w:highlight w:val="none"/>
        </w:rPr>
        <w:fldChar w:fldCharType="separate"/>
      </w:r>
      <w:r>
        <w:rPr>
          <w:rFonts w:hint="eastAsia" w:ascii="仿宋" w:hAnsi="仿宋" w:eastAsia="仿宋" w:cs="仿宋"/>
          <w:szCs w:val="30"/>
          <w:highlight w:val="none"/>
        </w:rPr>
        <w:t>二、招标文件</w:t>
      </w:r>
      <w:r>
        <w:tab/>
      </w:r>
      <w:r>
        <w:fldChar w:fldCharType="begin"/>
      </w:r>
      <w:r>
        <w:instrText xml:space="preserve"> PAGEREF _Toc5511 \h </w:instrText>
      </w:r>
      <w:r>
        <w:fldChar w:fldCharType="separate"/>
      </w:r>
      <w:r>
        <w:t>13</w:t>
      </w:r>
      <w:r>
        <w:fldChar w:fldCharType="end"/>
      </w:r>
      <w:r>
        <w:rPr>
          <w:rFonts w:hint="eastAsia" w:ascii="仿宋" w:hAnsi="仿宋" w:eastAsia="仿宋" w:cs="仿宋"/>
          <w:color w:val="auto"/>
          <w:highlight w:val="none"/>
        </w:rPr>
        <w:fldChar w:fldCharType="end"/>
      </w:r>
    </w:p>
    <w:p w14:paraId="23D986FF">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_Toc11877 </w:instrText>
      </w:r>
      <w:r>
        <w:rPr>
          <w:rFonts w:hint="eastAsia" w:ascii="仿宋" w:hAnsi="仿宋" w:eastAsia="仿宋" w:cs="仿宋"/>
          <w:highlight w:val="none"/>
        </w:rPr>
        <w:fldChar w:fldCharType="separate"/>
      </w:r>
      <w:r>
        <w:rPr>
          <w:rFonts w:hint="eastAsia" w:ascii="仿宋" w:hAnsi="仿宋" w:eastAsia="仿宋" w:cs="仿宋"/>
          <w:szCs w:val="30"/>
          <w:highlight w:val="none"/>
        </w:rPr>
        <w:t>三、投标文件</w:t>
      </w:r>
      <w:r>
        <w:tab/>
      </w:r>
      <w:r>
        <w:fldChar w:fldCharType="begin"/>
      </w:r>
      <w:r>
        <w:instrText xml:space="preserve"> PAGEREF _Toc11877 \h </w:instrText>
      </w:r>
      <w:r>
        <w:fldChar w:fldCharType="separate"/>
      </w:r>
      <w:r>
        <w:t>14</w:t>
      </w:r>
      <w:r>
        <w:fldChar w:fldCharType="end"/>
      </w:r>
      <w:r>
        <w:rPr>
          <w:rFonts w:hint="eastAsia" w:ascii="仿宋" w:hAnsi="仿宋" w:eastAsia="仿宋" w:cs="仿宋"/>
          <w:color w:val="auto"/>
          <w:highlight w:val="none"/>
        </w:rPr>
        <w:fldChar w:fldCharType="end"/>
      </w:r>
    </w:p>
    <w:p w14:paraId="3C69B8CC">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_Toc27291 </w:instrText>
      </w:r>
      <w:r>
        <w:rPr>
          <w:rFonts w:hint="eastAsia" w:ascii="仿宋" w:hAnsi="仿宋" w:eastAsia="仿宋" w:cs="仿宋"/>
          <w:highlight w:val="none"/>
        </w:rPr>
        <w:fldChar w:fldCharType="separate"/>
      </w:r>
      <w:r>
        <w:rPr>
          <w:rFonts w:hint="eastAsia" w:ascii="仿宋" w:hAnsi="仿宋" w:eastAsia="仿宋" w:cs="仿宋"/>
          <w:szCs w:val="30"/>
          <w:highlight w:val="none"/>
        </w:rPr>
        <w:t>四、投标</w:t>
      </w:r>
      <w:r>
        <w:tab/>
      </w:r>
      <w:r>
        <w:fldChar w:fldCharType="begin"/>
      </w:r>
      <w:r>
        <w:instrText xml:space="preserve"> PAGEREF _Toc27291 \h </w:instrText>
      </w:r>
      <w:r>
        <w:fldChar w:fldCharType="separate"/>
      </w:r>
      <w:r>
        <w:t>16</w:t>
      </w:r>
      <w:r>
        <w:fldChar w:fldCharType="end"/>
      </w:r>
      <w:r>
        <w:rPr>
          <w:rFonts w:hint="eastAsia" w:ascii="仿宋" w:hAnsi="仿宋" w:eastAsia="仿宋" w:cs="仿宋"/>
          <w:color w:val="auto"/>
          <w:highlight w:val="none"/>
        </w:rPr>
        <w:fldChar w:fldCharType="end"/>
      </w:r>
    </w:p>
    <w:p w14:paraId="4617FB9A">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_Toc15607 </w:instrText>
      </w:r>
      <w:r>
        <w:rPr>
          <w:rFonts w:hint="eastAsia" w:ascii="仿宋" w:hAnsi="仿宋" w:eastAsia="仿宋" w:cs="仿宋"/>
          <w:highlight w:val="none"/>
        </w:rPr>
        <w:fldChar w:fldCharType="separate"/>
      </w:r>
      <w:r>
        <w:rPr>
          <w:rFonts w:hint="eastAsia" w:ascii="仿宋" w:hAnsi="仿宋" w:eastAsia="仿宋" w:cs="仿宋"/>
          <w:szCs w:val="30"/>
          <w:highlight w:val="none"/>
        </w:rPr>
        <w:t>五、开标</w:t>
      </w:r>
      <w:r>
        <w:tab/>
      </w:r>
      <w:r>
        <w:fldChar w:fldCharType="begin"/>
      </w:r>
      <w:r>
        <w:instrText xml:space="preserve"> PAGEREF _Toc15607 \h </w:instrText>
      </w:r>
      <w:r>
        <w:fldChar w:fldCharType="separate"/>
      </w:r>
      <w:r>
        <w:t>17</w:t>
      </w:r>
      <w:r>
        <w:fldChar w:fldCharType="end"/>
      </w:r>
      <w:r>
        <w:rPr>
          <w:rFonts w:hint="eastAsia" w:ascii="仿宋" w:hAnsi="仿宋" w:eastAsia="仿宋" w:cs="仿宋"/>
          <w:color w:val="auto"/>
          <w:highlight w:val="none"/>
        </w:rPr>
        <w:fldChar w:fldCharType="end"/>
      </w:r>
    </w:p>
    <w:p w14:paraId="6A261A24">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_Toc7828 </w:instrText>
      </w:r>
      <w:r>
        <w:rPr>
          <w:rFonts w:hint="eastAsia" w:ascii="仿宋" w:hAnsi="仿宋" w:eastAsia="仿宋" w:cs="仿宋"/>
          <w:highlight w:val="none"/>
        </w:rPr>
        <w:fldChar w:fldCharType="separate"/>
      </w:r>
      <w:r>
        <w:rPr>
          <w:rFonts w:hint="eastAsia" w:ascii="仿宋" w:hAnsi="仿宋" w:eastAsia="仿宋" w:cs="仿宋"/>
          <w:szCs w:val="30"/>
          <w:highlight w:val="none"/>
        </w:rPr>
        <w:t>六、评标</w:t>
      </w:r>
      <w:r>
        <w:tab/>
      </w:r>
      <w:r>
        <w:fldChar w:fldCharType="begin"/>
      </w:r>
      <w:r>
        <w:instrText xml:space="preserve"> PAGEREF _Toc7828 \h </w:instrText>
      </w:r>
      <w:r>
        <w:fldChar w:fldCharType="separate"/>
      </w:r>
      <w:r>
        <w:t>18</w:t>
      </w:r>
      <w:r>
        <w:fldChar w:fldCharType="end"/>
      </w:r>
      <w:r>
        <w:rPr>
          <w:rFonts w:hint="eastAsia" w:ascii="仿宋" w:hAnsi="仿宋" w:eastAsia="仿宋" w:cs="仿宋"/>
          <w:color w:val="auto"/>
          <w:highlight w:val="none"/>
        </w:rPr>
        <w:fldChar w:fldCharType="end"/>
      </w:r>
    </w:p>
    <w:p w14:paraId="5D007A28">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_Toc26267 </w:instrText>
      </w:r>
      <w:r>
        <w:rPr>
          <w:rFonts w:hint="eastAsia" w:ascii="仿宋" w:hAnsi="仿宋" w:eastAsia="仿宋" w:cs="仿宋"/>
          <w:highlight w:val="none"/>
        </w:rPr>
        <w:fldChar w:fldCharType="separate"/>
      </w:r>
      <w:r>
        <w:rPr>
          <w:rFonts w:hint="eastAsia" w:ascii="仿宋" w:hAnsi="仿宋" w:eastAsia="仿宋" w:cs="仿宋"/>
          <w:szCs w:val="30"/>
          <w:highlight w:val="none"/>
        </w:rPr>
        <w:t>七、中标结果</w:t>
      </w:r>
      <w:r>
        <w:tab/>
      </w:r>
      <w:r>
        <w:fldChar w:fldCharType="begin"/>
      </w:r>
      <w:r>
        <w:instrText xml:space="preserve"> PAGEREF _Toc26267 \h </w:instrText>
      </w:r>
      <w:r>
        <w:fldChar w:fldCharType="separate"/>
      </w:r>
      <w:r>
        <w:t>20</w:t>
      </w:r>
      <w:r>
        <w:fldChar w:fldCharType="end"/>
      </w:r>
      <w:r>
        <w:rPr>
          <w:rFonts w:hint="eastAsia" w:ascii="仿宋" w:hAnsi="仿宋" w:eastAsia="仿宋" w:cs="仿宋"/>
          <w:color w:val="auto"/>
          <w:highlight w:val="none"/>
        </w:rPr>
        <w:fldChar w:fldCharType="end"/>
      </w:r>
    </w:p>
    <w:p w14:paraId="62D469BA">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_Toc8991 </w:instrText>
      </w:r>
      <w:r>
        <w:rPr>
          <w:rFonts w:hint="eastAsia" w:ascii="仿宋" w:hAnsi="仿宋" w:eastAsia="仿宋" w:cs="仿宋"/>
          <w:highlight w:val="none"/>
        </w:rPr>
        <w:fldChar w:fldCharType="separate"/>
      </w:r>
      <w:r>
        <w:rPr>
          <w:rFonts w:hint="eastAsia" w:ascii="仿宋" w:hAnsi="仿宋" w:eastAsia="仿宋" w:cs="仿宋"/>
          <w:szCs w:val="30"/>
          <w:highlight w:val="none"/>
        </w:rPr>
        <w:t>八、其他事项</w:t>
      </w:r>
      <w:r>
        <w:tab/>
      </w:r>
      <w:r>
        <w:fldChar w:fldCharType="begin"/>
      </w:r>
      <w:r>
        <w:instrText xml:space="preserve"> PAGEREF _Toc8991 \h </w:instrText>
      </w:r>
      <w:r>
        <w:fldChar w:fldCharType="separate"/>
      </w:r>
      <w:r>
        <w:t>21</w:t>
      </w:r>
      <w:r>
        <w:fldChar w:fldCharType="end"/>
      </w:r>
      <w:r>
        <w:rPr>
          <w:rFonts w:hint="eastAsia" w:ascii="仿宋" w:hAnsi="仿宋" w:eastAsia="仿宋" w:cs="仿宋"/>
          <w:color w:val="auto"/>
          <w:highlight w:val="none"/>
        </w:rPr>
        <w:fldChar w:fldCharType="end"/>
      </w:r>
    </w:p>
    <w:p w14:paraId="237C6976">
      <w:pPr>
        <w:pStyle w:val="18"/>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_Toc24122 </w:instrText>
      </w:r>
      <w:r>
        <w:rPr>
          <w:rFonts w:hint="eastAsia" w:ascii="仿宋" w:hAnsi="仿宋" w:eastAsia="仿宋" w:cs="仿宋"/>
          <w:highlight w:val="none"/>
        </w:rPr>
        <w:fldChar w:fldCharType="separate"/>
      </w:r>
      <w:r>
        <w:rPr>
          <w:rFonts w:hint="eastAsia" w:ascii="仿宋" w:hAnsi="仿宋" w:eastAsia="仿宋" w:cs="仿宋"/>
          <w:highlight w:val="none"/>
        </w:rPr>
        <w:t>第三章</w:t>
      </w:r>
      <w:r>
        <w:rPr>
          <w:rFonts w:hint="eastAsia" w:ascii="仿宋" w:hAnsi="仿宋" w:eastAsia="仿宋" w:cs="仿宋"/>
          <w:highlight w:val="none"/>
          <w:lang w:val="en-US" w:eastAsia="zh-CN"/>
        </w:rPr>
        <w:t xml:space="preserve">  </w:t>
      </w:r>
      <w:r>
        <w:rPr>
          <w:rFonts w:hint="eastAsia" w:ascii="仿宋" w:hAnsi="仿宋" w:eastAsia="仿宋" w:cs="仿宋"/>
          <w:highlight w:val="none"/>
        </w:rPr>
        <w:t>合同书样式及主要条款</w:t>
      </w:r>
      <w:r>
        <w:tab/>
      </w:r>
      <w:r>
        <w:fldChar w:fldCharType="begin"/>
      </w:r>
      <w:r>
        <w:instrText xml:space="preserve"> PAGEREF _Toc24122 \h </w:instrText>
      </w:r>
      <w:r>
        <w:fldChar w:fldCharType="separate"/>
      </w:r>
      <w:r>
        <w:t>22</w:t>
      </w:r>
      <w:r>
        <w:fldChar w:fldCharType="end"/>
      </w:r>
      <w:r>
        <w:rPr>
          <w:rFonts w:hint="eastAsia" w:ascii="仿宋" w:hAnsi="仿宋" w:eastAsia="仿宋" w:cs="仿宋"/>
          <w:color w:val="auto"/>
          <w:highlight w:val="none"/>
        </w:rPr>
        <w:fldChar w:fldCharType="end"/>
      </w:r>
    </w:p>
    <w:p w14:paraId="28EDF04C">
      <w:pPr>
        <w:pStyle w:val="18"/>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_Toc4007 </w:instrText>
      </w:r>
      <w:r>
        <w:rPr>
          <w:rFonts w:hint="eastAsia" w:ascii="仿宋" w:hAnsi="仿宋" w:eastAsia="仿宋" w:cs="仿宋"/>
          <w:highlight w:val="none"/>
        </w:rPr>
        <w:fldChar w:fldCharType="separate"/>
      </w:r>
      <w:r>
        <w:rPr>
          <w:rFonts w:hint="eastAsia" w:ascii="仿宋" w:hAnsi="仿宋" w:eastAsia="仿宋" w:cs="仿宋"/>
          <w:highlight w:val="none"/>
        </w:rPr>
        <w:t>第四章</w:t>
      </w:r>
      <w:r>
        <w:rPr>
          <w:rFonts w:hint="eastAsia" w:ascii="仿宋" w:hAnsi="仿宋" w:eastAsia="仿宋" w:cs="仿宋"/>
          <w:highlight w:val="none"/>
          <w:lang w:val="en-US" w:eastAsia="zh-CN"/>
        </w:rPr>
        <w:t xml:space="preserve">  </w:t>
      </w:r>
      <w:r>
        <w:rPr>
          <w:rFonts w:hint="eastAsia" w:ascii="仿宋" w:hAnsi="仿宋" w:eastAsia="仿宋" w:cs="仿宋"/>
          <w:highlight w:val="none"/>
        </w:rPr>
        <w:t>投标文件格式</w:t>
      </w:r>
      <w:r>
        <w:tab/>
      </w:r>
      <w:r>
        <w:fldChar w:fldCharType="begin"/>
      </w:r>
      <w:r>
        <w:instrText xml:space="preserve"> PAGEREF _Toc4007 \h </w:instrText>
      </w:r>
      <w:r>
        <w:fldChar w:fldCharType="separate"/>
      </w:r>
      <w:r>
        <w:t>30</w:t>
      </w:r>
      <w:r>
        <w:fldChar w:fldCharType="end"/>
      </w:r>
      <w:r>
        <w:rPr>
          <w:rFonts w:hint="eastAsia" w:ascii="仿宋" w:hAnsi="仿宋" w:eastAsia="仿宋" w:cs="仿宋"/>
          <w:color w:val="auto"/>
          <w:highlight w:val="none"/>
        </w:rPr>
        <w:fldChar w:fldCharType="end"/>
      </w:r>
    </w:p>
    <w:p w14:paraId="1D4AEE15">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_Toc29971 </w:instrText>
      </w:r>
      <w:r>
        <w:rPr>
          <w:rFonts w:hint="eastAsia" w:ascii="仿宋" w:hAnsi="仿宋" w:eastAsia="仿宋" w:cs="仿宋"/>
          <w:highlight w:val="none"/>
        </w:rPr>
        <w:fldChar w:fldCharType="separate"/>
      </w:r>
      <w:r>
        <w:rPr>
          <w:rFonts w:hint="eastAsia" w:ascii="仿宋" w:hAnsi="仿宋" w:eastAsia="仿宋" w:cs="仿宋"/>
          <w:szCs w:val="30"/>
          <w:highlight w:val="none"/>
        </w:rPr>
        <w:t>一、投标文件封面</w:t>
      </w:r>
      <w:r>
        <w:tab/>
      </w:r>
      <w:r>
        <w:fldChar w:fldCharType="begin"/>
      </w:r>
      <w:r>
        <w:instrText xml:space="preserve"> PAGEREF _Toc29971 \h </w:instrText>
      </w:r>
      <w:r>
        <w:fldChar w:fldCharType="separate"/>
      </w:r>
      <w:r>
        <w:t>30</w:t>
      </w:r>
      <w:r>
        <w:fldChar w:fldCharType="end"/>
      </w:r>
      <w:r>
        <w:rPr>
          <w:rFonts w:hint="eastAsia" w:ascii="仿宋" w:hAnsi="仿宋" w:eastAsia="仿宋" w:cs="仿宋"/>
          <w:color w:val="auto"/>
          <w:highlight w:val="none"/>
        </w:rPr>
        <w:fldChar w:fldCharType="end"/>
      </w:r>
    </w:p>
    <w:p w14:paraId="02BC280A">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_Toc12780 </w:instrText>
      </w:r>
      <w:r>
        <w:rPr>
          <w:rFonts w:hint="eastAsia" w:ascii="仿宋" w:hAnsi="仿宋" w:eastAsia="仿宋" w:cs="仿宋"/>
          <w:highlight w:val="none"/>
        </w:rPr>
        <w:fldChar w:fldCharType="separate"/>
      </w:r>
      <w:r>
        <w:rPr>
          <w:rFonts w:hint="eastAsia" w:ascii="仿宋" w:hAnsi="仿宋" w:eastAsia="仿宋" w:cs="仿宋"/>
          <w:szCs w:val="30"/>
          <w:highlight w:val="none"/>
          <w:lang w:val="en-US" w:eastAsia="zh-CN"/>
        </w:rPr>
        <w:t>目录</w:t>
      </w:r>
      <w:r>
        <w:tab/>
      </w:r>
      <w:r>
        <w:fldChar w:fldCharType="begin"/>
      </w:r>
      <w:r>
        <w:instrText xml:space="preserve"> PAGEREF _Toc12780 \h </w:instrText>
      </w:r>
      <w:r>
        <w:fldChar w:fldCharType="separate"/>
      </w:r>
      <w:r>
        <w:t>32</w:t>
      </w:r>
      <w:r>
        <w:fldChar w:fldCharType="end"/>
      </w:r>
      <w:r>
        <w:rPr>
          <w:rFonts w:hint="eastAsia" w:ascii="仿宋" w:hAnsi="仿宋" w:eastAsia="仿宋" w:cs="仿宋"/>
          <w:color w:val="auto"/>
          <w:highlight w:val="none"/>
        </w:rPr>
        <w:fldChar w:fldCharType="end"/>
      </w:r>
    </w:p>
    <w:p w14:paraId="4DE3F02A">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_Toc25975 </w:instrText>
      </w:r>
      <w:r>
        <w:rPr>
          <w:rFonts w:hint="eastAsia" w:ascii="仿宋" w:hAnsi="仿宋" w:eastAsia="仿宋" w:cs="仿宋"/>
          <w:highlight w:val="none"/>
        </w:rPr>
        <w:fldChar w:fldCharType="separate"/>
      </w:r>
      <w:r>
        <w:rPr>
          <w:rFonts w:hint="eastAsia" w:ascii="仿宋" w:hAnsi="仿宋" w:eastAsia="仿宋" w:cs="仿宋"/>
          <w:szCs w:val="30"/>
          <w:highlight w:val="none"/>
        </w:rPr>
        <w:t>二、开标一览表</w:t>
      </w:r>
      <w:r>
        <w:tab/>
      </w:r>
      <w:r>
        <w:fldChar w:fldCharType="begin"/>
      </w:r>
      <w:r>
        <w:instrText xml:space="preserve"> PAGEREF _Toc25975 \h </w:instrText>
      </w:r>
      <w:r>
        <w:fldChar w:fldCharType="separate"/>
      </w:r>
      <w:r>
        <w:t>33</w:t>
      </w:r>
      <w:r>
        <w:fldChar w:fldCharType="end"/>
      </w:r>
      <w:r>
        <w:rPr>
          <w:rFonts w:hint="eastAsia" w:ascii="仿宋" w:hAnsi="仿宋" w:eastAsia="仿宋" w:cs="仿宋"/>
          <w:color w:val="auto"/>
          <w:highlight w:val="none"/>
        </w:rPr>
        <w:fldChar w:fldCharType="end"/>
      </w:r>
    </w:p>
    <w:p w14:paraId="6CEC123C">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_Toc14401 </w:instrText>
      </w:r>
      <w:r>
        <w:rPr>
          <w:rFonts w:hint="eastAsia" w:ascii="仿宋" w:hAnsi="仿宋" w:eastAsia="仿宋" w:cs="仿宋"/>
          <w:highlight w:val="none"/>
        </w:rPr>
        <w:fldChar w:fldCharType="separate"/>
      </w:r>
      <w:r>
        <w:rPr>
          <w:rFonts w:hint="eastAsia" w:ascii="仿宋" w:hAnsi="仿宋" w:eastAsia="仿宋" w:cs="仿宋"/>
          <w:szCs w:val="30"/>
          <w:highlight w:val="none"/>
          <w:lang w:val="en-US" w:eastAsia="zh-CN"/>
        </w:rPr>
        <w:t>三</w:t>
      </w:r>
      <w:r>
        <w:rPr>
          <w:rFonts w:hint="eastAsia" w:ascii="仿宋" w:hAnsi="仿宋" w:eastAsia="仿宋" w:cs="仿宋"/>
          <w:szCs w:val="30"/>
          <w:highlight w:val="none"/>
        </w:rPr>
        <w:t>、资格审查文件部分</w:t>
      </w:r>
      <w:r>
        <w:tab/>
      </w:r>
      <w:r>
        <w:fldChar w:fldCharType="begin"/>
      </w:r>
      <w:r>
        <w:instrText xml:space="preserve"> PAGEREF _Toc14401 \h </w:instrText>
      </w:r>
      <w:r>
        <w:fldChar w:fldCharType="separate"/>
      </w:r>
      <w:r>
        <w:t>34</w:t>
      </w:r>
      <w:r>
        <w:fldChar w:fldCharType="end"/>
      </w:r>
      <w:r>
        <w:rPr>
          <w:rFonts w:hint="eastAsia" w:ascii="仿宋" w:hAnsi="仿宋" w:eastAsia="仿宋" w:cs="仿宋"/>
          <w:color w:val="auto"/>
          <w:highlight w:val="none"/>
        </w:rPr>
        <w:fldChar w:fldCharType="end"/>
      </w:r>
    </w:p>
    <w:p w14:paraId="7CE76B36">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_Toc13461 </w:instrText>
      </w:r>
      <w:r>
        <w:rPr>
          <w:rFonts w:hint="eastAsia" w:ascii="仿宋" w:hAnsi="仿宋" w:eastAsia="仿宋" w:cs="仿宋"/>
          <w:highlight w:val="none"/>
        </w:rPr>
        <w:fldChar w:fldCharType="separate"/>
      </w:r>
      <w:r>
        <w:rPr>
          <w:rFonts w:hint="eastAsia" w:ascii="仿宋" w:hAnsi="仿宋" w:eastAsia="仿宋" w:cs="仿宋"/>
          <w:szCs w:val="30"/>
          <w:highlight w:val="none"/>
          <w:lang w:val="en-US" w:eastAsia="zh-CN"/>
        </w:rPr>
        <w:t>四</w:t>
      </w:r>
      <w:r>
        <w:rPr>
          <w:rFonts w:hint="eastAsia" w:ascii="仿宋" w:hAnsi="仿宋" w:eastAsia="仿宋" w:cs="仿宋"/>
          <w:szCs w:val="30"/>
          <w:highlight w:val="none"/>
        </w:rPr>
        <w:t>、技术标部分</w:t>
      </w:r>
      <w:r>
        <w:tab/>
      </w:r>
      <w:r>
        <w:fldChar w:fldCharType="begin"/>
      </w:r>
      <w:r>
        <w:instrText xml:space="preserve"> PAGEREF _Toc13461 \h </w:instrText>
      </w:r>
      <w:r>
        <w:fldChar w:fldCharType="separate"/>
      </w:r>
      <w:r>
        <w:t>36</w:t>
      </w:r>
      <w:r>
        <w:fldChar w:fldCharType="end"/>
      </w:r>
      <w:r>
        <w:rPr>
          <w:rFonts w:hint="eastAsia" w:ascii="仿宋" w:hAnsi="仿宋" w:eastAsia="仿宋" w:cs="仿宋"/>
          <w:color w:val="auto"/>
          <w:highlight w:val="none"/>
        </w:rPr>
        <w:fldChar w:fldCharType="end"/>
      </w:r>
    </w:p>
    <w:p w14:paraId="6168CB7C">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_Toc27319 </w:instrText>
      </w:r>
      <w:r>
        <w:rPr>
          <w:rFonts w:hint="eastAsia" w:ascii="仿宋" w:hAnsi="仿宋" w:eastAsia="仿宋" w:cs="仿宋"/>
          <w:highlight w:val="none"/>
        </w:rPr>
        <w:fldChar w:fldCharType="separate"/>
      </w:r>
      <w:r>
        <w:rPr>
          <w:rFonts w:hint="eastAsia" w:ascii="仿宋" w:hAnsi="仿宋" w:eastAsia="仿宋" w:cs="仿宋"/>
          <w:szCs w:val="30"/>
          <w:highlight w:val="none"/>
          <w:lang w:eastAsia="zh-CN"/>
        </w:rPr>
        <w:t>五</w:t>
      </w:r>
      <w:r>
        <w:rPr>
          <w:rFonts w:hint="eastAsia" w:ascii="仿宋" w:hAnsi="仿宋" w:eastAsia="仿宋" w:cs="仿宋"/>
          <w:szCs w:val="30"/>
          <w:highlight w:val="none"/>
        </w:rPr>
        <w:t>、商务标部分</w:t>
      </w:r>
      <w:r>
        <w:tab/>
      </w:r>
      <w:r>
        <w:fldChar w:fldCharType="begin"/>
      </w:r>
      <w:r>
        <w:instrText xml:space="preserve"> PAGEREF _Toc27319 \h </w:instrText>
      </w:r>
      <w:r>
        <w:fldChar w:fldCharType="separate"/>
      </w:r>
      <w:r>
        <w:t>38</w:t>
      </w:r>
      <w:r>
        <w:fldChar w:fldCharType="end"/>
      </w:r>
      <w:r>
        <w:rPr>
          <w:rFonts w:hint="eastAsia" w:ascii="仿宋" w:hAnsi="仿宋" w:eastAsia="仿宋" w:cs="仿宋"/>
          <w:color w:val="auto"/>
          <w:highlight w:val="none"/>
        </w:rPr>
        <w:fldChar w:fldCharType="end"/>
      </w:r>
    </w:p>
    <w:p w14:paraId="19FA0B56">
      <w:pPr>
        <w:pStyle w:val="18"/>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_Toc27493 </w:instrText>
      </w:r>
      <w:r>
        <w:rPr>
          <w:rFonts w:hint="eastAsia" w:ascii="仿宋" w:hAnsi="仿宋" w:eastAsia="仿宋" w:cs="仿宋"/>
          <w:highlight w:val="none"/>
        </w:rPr>
        <w:fldChar w:fldCharType="separate"/>
      </w:r>
      <w:r>
        <w:rPr>
          <w:rFonts w:hint="eastAsia" w:ascii="仿宋" w:hAnsi="仿宋" w:eastAsia="仿宋" w:cs="仿宋"/>
        </w:rPr>
        <w:t xml:space="preserve">第五章 </w:t>
      </w:r>
      <w:r>
        <w:rPr>
          <w:rFonts w:hint="eastAsia" w:ascii="仿宋" w:hAnsi="仿宋" w:eastAsia="仿宋" w:cs="仿宋"/>
          <w:highlight w:val="none"/>
        </w:rPr>
        <w:t>采购需求</w:t>
      </w:r>
      <w:r>
        <w:tab/>
      </w:r>
      <w:r>
        <w:fldChar w:fldCharType="begin"/>
      </w:r>
      <w:r>
        <w:instrText xml:space="preserve"> PAGEREF _Toc27493 \h </w:instrText>
      </w:r>
      <w:r>
        <w:fldChar w:fldCharType="separate"/>
      </w:r>
      <w:r>
        <w:t>54</w:t>
      </w:r>
      <w:r>
        <w:fldChar w:fldCharType="end"/>
      </w:r>
      <w:r>
        <w:rPr>
          <w:rFonts w:hint="eastAsia" w:ascii="仿宋" w:hAnsi="仿宋" w:eastAsia="仿宋" w:cs="仿宋"/>
          <w:color w:val="auto"/>
          <w:highlight w:val="none"/>
        </w:rPr>
        <w:fldChar w:fldCharType="end"/>
      </w:r>
    </w:p>
    <w:p w14:paraId="3DD75C3F">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_Toc21194 </w:instrText>
      </w:r>
      <w:r>
        <w:rPr>
          <w:rFonts w:hint="eastAsia" w:ascii="仿宋" w:hAnsi="仿宋" w:eastAsia="仿宋" w:cs="仿宋"/>
          <w:highlight w:val="none"/>
        </w:rPr>
        <w:fldChar w:fldCharType="separate"/>
      </w:r>
      <w:r>
        <w:rPr>
          <w:rFonts w:hint="eastAsia" w:ascii="仿宋" w:hAnsi="仿宋" w:eastAsia="仿宋" w:cs="仿宋"/>
        </w:rPr>
        <w:t>1. 采购标的需实现的功能或者目标</w:t>
      </w:r>
      <w:r>
        <w:tab/>
      </w:r>
      <w:r>
        <w:fldChar w:fldCharType="begin"/>
      </w:r>
      <w:r>
        <w:instrText xml:space="preserve"> PAGEREF _Toc21194 \h </w:instrText>
      </w:r>
      <w:r>
        <w:fldChar w:fldCharType="separate"/>
      </w:r>
      <w:r>
        <w:t>54</w:t>
      </w:r>
      <w:r>
        <w:fldChar w:fldCharType="end"/>
      </w:r>
      <w:r>
        <w:rPr>
          <w:rFonts w:hint="eastAsia" w:ascii="仿宋" w:hAnsi="仿宋" w:eastAsia="仿宋" w:cs="仿宋"/>
          <w:color w:val="auto"/>
          <w:highlight w:val="none"/>
        </w:rPr>
        <w:fldChar w:fldCharType="end"/>
      </w:r>
    </w:p>
    <w:p w14:paraId="2876AEA6">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_Toc10296 </w:instrText>
      </w:r>
      <w:r>
        <w:rPr>
          <w:rFonts w:hint="eastAsia" w:ascii="仿宋" w:hAnsi="仿宋" w:eastAsia="仿宋" w:cs="仿宋"/>
          <w:highlight w:val="none"/>
        </w:rPr>
        <w:fldChar w:fldCharType="separate"/>
      </w:r>
      <w:r>
        <w:rPr>
          <w:rFonts w:hint="eastAsia" w:ascii="仿宋" w:hAnsi="仿宋" w:eastAsia="仿宋" w:cs="仿宋"/>
        </w:rPr>
        <w:t xml:space="preserve">2. </w:t>
      </w:r>
      <w:r>
        <w:rPr>
          <w:rFonts w:hint="eastAsia" w:ascii="仿宋" w:hAnsi="仿宋" w:eastAsia="仿宋" w:cs="仿宋"/>
          <w:highlight w:val="none"/>
        </w:rPr>
        <w:t>采购标的需执行的国家相关标准、行业标准、地方标准或者其他标准、规范</w:t>
      </w:r>
      <w:r>
        <w:tab/>
      </w:r>
      <w:r>
        <w:fldChar w:fldCharType="begin"/>
      </w:r>
      <w:r>
        <w:instrText xml:space="preserve"> PAGEREF _Toc10296 \h </w:instrText>
      </w:r>
      <w:r>
        <w:fldChar w:fldCharType="separate"/>
      </w:r>
      <w:r>
        <w:t>54</w:t>
      </w:r>
      <w:r>
        <w:fldChar w:fldCharType="end"/>
      </w:r>
      <w:r>
        <w:rPr>
          <w:rFonts w:hint="eastAsia" w:ascii="仿宋" w:hAnsi="仿宋" w:eastAsia="仿宋" w:cs="仿宋"/>
          <w:color w:val="auto"/>
          <w:highlight w:val="none"/>
        </w:rPr>
        <w:fldChar w:fldCharType="end"/>
      </w:r>
    </w:p>
    <w:p w14:paraId="38AE002F">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_Toc27977 </w:instrText>
      </w:r>
      <w:r>
        <w:rPr>
          <w:rFonts w:hint="eastAsia" w:ascii="仿宋" w:hAnsi="仿宋" w:eastAsia="仿宋" w:cs="仿宋"/>
          <w:highlight w:val="none"/>
        </w:rPr>
        <w:fldChar w:fldCharType="separate"/>
      </w:r>
      <w:r>
        <w:rPr>
          <w:rFonts w:hint="eastAsia" w:ascii="仿宋" w:hAnsi="仿宋" w:eastAsia="仿宋" w:cs="仿宋"/>
        </w:rPr>
        <w:t xml:space="preserve">3. </w:t>
      </w:r>
      <w:r>
        <w:rPr>
          <w:rFonts w:hint="eastAsia" w:ascii="仿宋" w:hAnsi="仿宋" w:eastAsia="仿宋" w:cs="仿宋"/>
          <w:highlight w:val="none"/>
        </w:rPr>
        <w:t>采购标的需满足的质量、安全、服务等要求</w:t>
      </w:r>
      <w:r>
        <w:tab/>
      </w:r>
      <w:r>
        <w:fldChar w:fldCharType="begin"/>
      </w:r>
      <w:r>
        <w:instrText xml:space="preserve"> PAGEREF _Toc27977 \h </w:instrText>
      </w:r>
      <w:r>
        <w:fldChar w:fldCharType="separate"/>
      </w:r>
      <w:r>
        <w:t>54</w:t>
      </w:r>
      <w:r>
        <w:fldChar w:fldCharType="end"/>
      </w:r>
      <w:r>
        <w:rPr>
          <w:rFonts w:hint="eastAsia" w:ascii="仿宋" w:hAnsi="仿宋" w:eastAsia="仿宋" w:cs="仿宋"/>
          <w:color w:val="auto"/>
          <w:highlight w:val="none"/>
        </w:rPr>
        <w:fldChar w:fldCharType="end"/>
      </w:r>
    </w:p>
    <w:p w14:paraId="486D3F05">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_Toc21877 </w:instrText>
      </w:r>
      <w:r>
        <w:rPr>
          <w:rFonts w:hint="eastAsia" w:ascii="仿宋" w:hAnsi="仿宋" w:eastAsia="仿宋" w:cs="仿宋"/>
          <w:highlight w:val="none"/>
        </w:rPr>
        <w:fldChar w:fldCharType="separate"/>
      </w:r>
      <w:r>
        <w:rPr>
          <w:rFonts w:hint="eastAsia" w:ascii="仿宋" w:hAnsi="仿宋" w:eastAsia="仿宋" w:cs="仿宋"/>
          <w:lang w:val="en-US" w:eastAsia="zh-CN"/>
        </w:rPr>
        <w:t>4.</w:t>
      </w:r>
      <w:r>
        <w:rPr>
          <w:rFonts w:hint="eastAsia" w:ascii="仿宋" w:hAnsi="仿宋" w:eastAsia="仿宋" w:cs="仿宋"/>
        </w:rPr>
        <w:t>采购标的的数量、采购项目交付或者实施的时间和地点</w:t>
      </w:r>
      <w:r>
        <w:tab/>
      </w:r>
      <w:r>
        <w:fldChar w:fldCharType="begin"/>
      </w:r>
      <w:r>
        <w:instrText xml:space="preserve"> PAGEREF _Toc21877 \h </w:instrText>
      </w:r>
      <w:r>
        <w:fldChar w:fldCharType="separate"/>
      </w:r>
      <w:r>
        <w:t>54</w:t>
      </w:r>
      <w:r>
        <w:fldChar w:fldCharType="end"/>
      </w:r>
      <w:r>
        <w:rPr>
          <w:rFonts w:hint="eastAsia" w:ascii="仿宋" w:hAnsi="仿宋" w:eastAsia="仿宋" w:cs="仿宋"/>
          <w:color w:val="auto"/>
          <w:highlight w:val="none"/>
        </w:rPr>
        <w:fldChar w:fldCharType="end"/>
      </w:r>
    </w:p>
    <w:p w14:paraId="6A1F32DE">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_Toc8326 </w:instrText>
      </w:r>
      <w:r>
        <w:rPr>
          <w:rFonts w:hint="eastAsia" w:ascii="仿宋" w:hAnsi="仿宋" w:eastAsia="仿宋" w:cs="仿宋"/>
          <w:highlight w:val="none"/>
        </w:rPr>
        <w:fldChar w:fldCharType="separate"/>
      </w:r>
      <w:r>
        <w:rPr>
          <w:rFonts w:hint="eastAsia" w:ascii="仿宋" w:hAnsi="仿宋" w:eastAsia="仿宋" w:cs="仿宋"/>
          <w:lang w:val="en-US" w:eastAsia="zh-CN"/>
        </w:rPr>
        <w:t>5.</w:t>
      </w:r>
      <w:r>
        <w:rPr>
          <w:rFonts w:hint="eastAsia" w:ascii="仿宋" w:hAnsi="仿宋" w:eastAsia="仿宋" w:cs="仿宋"/>
        </w:rPr>
        <w:t>采购标的需满足的服务标准要求</w:t>
      </w:r>
      <w:r>
        <w:tab/>
      </w:r>
      <w:r>
        <w:fldChar w:fldCharType="begin"/>
      </w:r>
      <w:r>
        <w:instrText xml:space="preserve"> PAGEREF _Toc8326 \h </w:instrText>
      </w:r>
      <w:r>
        <w:fldChar w:fldCharType="separate"/>
      </w:r>
      <w:r>
        <w:t>64</w:t>
      </w:r>
      <w:r>
        <w:fldChar w:fldCharType="end"/>
      </w:r>
      <w:r>
        <w:rPr>
          <w:rFonts w:hint="eastAsia" w:ascii="仿宋" w:hAnsi="仿宋" w:eastAsia="仿宋" w:cs="仿宋"/>
          <w:color w:val="auto"/>
          <w:highlight w:val="none"/>
        </w:rPr>
        <w:fldChar w:fldCharType="end"/>
      </w:r>
    </w:p>
    <w:p w14:paraId="7B2CC8C1">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_Toc30598 </w:instrText>
      </w:r>
      <w:r>
        <w:rPr>
          <w:rFonts w:hint="eastAsia" w:ascii="仿宋" w:hAnsi="仿宋" w:eastAsia="仿宋" w:cs="仿宋"/>
          <w:highlight w:val="none"/>
        </w:rPr>
        <w:fldChar w:fldCharType="separate"/>
      </w:r>
      <w:r>
        <w:rPr>
          <w:rFonts w:hint="eastAsia" w:ascii="仿宋" w:hAnsi="仿宋" w:eastAsia="仿宋" w:cs="仿宋"/>
          <w:lang w:val="en-US" w:eastAsia="zh-CN"/>
        </w:rPr>
        <w:t>6.</w:t>
      </w:r>
      <w:r>
        <w:rPr>
          <w:rFonts w:hint="eastAsia" w:ascii="仿宋" w:hAnsi="仿宋" w:eastAsia="仿宋" w:cs="仿宋"/>
        </w:rPr>
        <w:t>采购标的的验收标准</w:t>
      </w:r>
      <w:r>
        <w:tab/>
      </w:r>
      <w:r>
        <w:fldChar w:fldCharType="begin"/>
      </w:r>
      <w:r>
        <w:instrText xml:space="preserve"> PAGEREF _Toc30598 \h </w:instrText>
      </w:r>
      <w:r>
        <w:fldChar w:fldCharType="separate"/>
      </w:r>
      <w:r>
        <w:t>64</w:t>
      </w:r>
      <w:r>
        <w:fldChar w:fldCharType="end"/>
      </w:r>
      <w:r>
        <w:rPr>
          <w:rFonts w:hint="eastAsia" w:ascii="仿宋" w:hAnsi="仿宋" w:eastAsia="仿宋" w:cs="仿宋"/>
          <w:color w:val="auto"/>
          <w:highlight w:val="none"/>
        </w:rPr>
        <w:fldChar w:fldCharType="end"/>
      </w:r>
    </w:p>
    <w:p w14:paraId="40E3E746">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_Toc16667 </w:instrText>
      </w:r>
      <w:r>
        <w:rPr>
          <w:rFonts w:hint="eastAsia" w:ascii="仿宋" w:hAnsi="仿宋" w:eastAsia="仿宋" w:cs="仿宋"/>
          <w:highlight w:val="none"/>
        </w:rPr>
        <w:fldChar w:fldCharType="separate"/>
      </w:r>
      <w:r>
        <w:rPr>
          <w:rFonts w:hint="eastAsia" w:ascii="仿宋" w:hAnsi="仿宋" w:eastAsia="仿宋" w:cs="仿宋"/>
          <w:lang w:val="en-US" w:eastAsia="zh-CN"/>
        </w:rPr>
        <w:t>7.</w:t>
      </w:r>
      <w:r>
        <w:rPr>
          <w:rFonts w:hint="eastAsia" w:ascii="仿宋" w:hAnsi="仿宋" w:eastAsia="仿宋" w:cs="仿宋"/>
        </w:rPr>
        <w:t>采购标的的其他技术、服务等要求</w:t>
      </w:r>
      <w:r>
        <w:tab/>
      </w:r>
      <w:r>
        <w:fldChar w:fldCharType="begin"/>
      </w:r>
      <w:r>
        <w:instrText xml:space="preserve"> PAGEREF _Toc16667 \h </w:instrText>
      </w:r>
      <w:r>
        <w:fldChar w:fldCharType="separate"/>
      </w:r>
      <w:r>
        <w:t>65</w:t>
      </w:r>
      <w:r>
        <w:fldChar w:fldCharType="end"/>
      </w:r>
      <w:r>
        <w:rPr>
          <w:rFonts w:hint="eastAsia" w:ascii="仿宋" w:hAnsi="仿宋" w:eastAsia="仿宋" w:cs="仿宋"/>
          <w:color w:val="auto"/>
          <w:highlight w:val="none"/>
        </w:rPr>
        <w:fldChar w:fldCharType="end"/>
      </w:r>
    </w:p>
    <w:p w14:paraId="52F1C405">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_Toc21263 </w:instrText>
      </w:r>
      <w:r>
        <w:rPr>
          <w:rFonts w:hint="eastAsia" w:ascii="仿宋" w:hAnsi="仿宋" w:eastAsia="仿宋" w:cs="仿宋"/>
          <w:highlight w:val="none"/>
        </w:rPr>
        <w:fldChar w:fldCharType="separate"/>
      </w:r>
      <w:r>
        <w:rPr>
          <w:rFonts w:hint="eastAsia" w:ascii="仿宋" w:hAnsi="仿宋" w:eastAsia="仿宋" w:cs="仿宋"/>
          <w:lang w:val="en-US" w:eastAsia="zh-CN"/>
        </w:rPr>
        <w:t>8.其他要求</w:t>
      </w:r>
      <w:r>
        <w:tab/>
      </w:r>
      <w:r>
        <w:fldChar w:fldCharType="begin"/>
      </w:r>
      <w:r>
        <w:instrText xml:space="preserve"> PAGEREF _Toc21263 \h </w:instrText>
      </w:r>
      <w:r>
        <w:fldChar w:fldCharType="separate"/>
      </w:r>
      <w:r>
        <w:t>65</w:t>
      </w:r>
      <w:r>
        <w:fldChar w:fldCharType="end"/>
      </w:r>
      <w:r>
        <w:rPr>
          <w:rFonts w:hint="eastAsia" w:ascii="仿宋" w:hAnsi="仿宋" w:eastAsia="仿宋" w:cs="仿宋"/>
          <w:color w:val="auto"/>
          <w:highlight w:val="none"/>
        </w:rPr>
        <w:fldChar w:fldCharType="end"/>
      </w:r>
    </w:p>
    <w:p w14:paraId="2313229B">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_Toc454 </w:instrText>
      </w:r>
      <w:r>
        <w:rPr>
          <w:rFonts w:hint="eastAsia" w:ascii="仿宋" w:hAnsi="仿宋" w:eastAsia="仿宋" w:cs="仿宋"/>
          <w:highlight w:val="none"/>
        </w:rPr>
        <w:fldChar w:fldCharType="separate"/>
      </w:r>
      <w:r>
        <w:rPr>
          <w:rFonts w:hint="eastAsia"/>
          <w:highlight w:val="none"/>
          <w:lang w:val="en-US" w:eastAsia="zh-CN"/>
        </w:rPr>
        <w:t>9.样品要求</w:t>
      </w:r>
      <w:r>
        <w:tab/>
      </w:r>
      <w:r>
        <w:fldChar w:fldCharType="begin"/>
      </w:r>
      <w:r>
        <w:instrText xml:space="preserve"> PAGEREF _Toc454 \h </w:instrText>
      </w:r>
      <w:r>
        <w:fldChar w:fldCharType="separate"/>
      </w:r>
      <w:r>
        <w:t>67</w:t>
      </w:r>
      <w:r>
        <w:fldChar w:fldCharType="end"/>
      </w:r>
      <w:r>
        <w:rPr>
          <w:rFonts w:hint="eastAsia" w:ascii="仿宋" w:hAnsi="仿宋" w:eastAsia="仿宋" w:cs="仿宋"/>
          <w:color w:val="auto"/>
          <w:highlight w:val="none"/>
        </w:rPr>
        <w:fldChar w:fldCharType="end"/>
      </w:r>
    </w:p>
    <w:p w14:paraId="0A966686">
      <w:pPr>
        <w:pStyle w:val="18"/>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_Toc30171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第六章  资格审查标准</w:t>
      </w:r>
      <w:r>
        <w:tab/>
      </w:r>
      <w:r>
        <w:fldChar w:fldCharType="begin"/>
      </w:r>
      <w:r>
        <w:instrText xml:space="preserve"> PAGEREF _Toc30171 \h </w:instrText>
      </w:r>
      <w:r>
        <w:fldChar w:fldCharType="separate"/>
      </w:r>
      <w:r>
        <w:t>70</w:t>
      </w:r>
      <w:r>
        <w:fldChar w:fldCharType="end"/>
      </w:r>
      <w:r>
        <w:rPr>
          <w:rFonts w:hint="eastAsia" w:ascii="仿宋" w:hAnsi="仿宋" w:eastAsia="仿宋" w:cs="仿宋"/>
          <w:color w:val="auto"/>
          <w:highlight w:val="none"/>
        </w:rPr>
        <w:fldChar w:fldCharType="end"/>
      </w:r>
    </w:p>
    <w:p w14:paraId="623E2AAE">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_Toc20260 </w:instrText>
      </w:r>
      <w:r>
        <w:rPr>
          <w:rFonts w:hint="eastAsia" w:ascii="仿宋" w:hAnsi="仿宋" w:eastAsia="仿宋" w:cs="仿宋"/>
          <w:highlight w:val="none"/>
        </w:rPr>
        <w:fldChar w:fldCharType="separate"/>
      </w:r>
      <w:r>
        <w:rPr>
          <w:rFonts w:hint="eastAsia" w:ascii="仿宋" w:hAnsi="仿宋" w:eastAsia="仿宋" w:cs="仿宋"/>
          <w:szCs w:val="28"/>
          <w:highlight w:val="none"/>
        </w:rPr>
        <w:t>评标办法前附表</w:t>
      </w:r>
      <w:r>
        <w:tab/>
      </w:r>
      <w:r>
        <w:fldChar w:fldCharType="begin"/>
      </w:r>
      <w:r>
        <w:instrText xml:space="preserve"> PAGEREF _Toc20260 \h </w:instrText>
      </w:r>
      <w:r>
        <w:fldChar w:fldCharType="separate"/>
      </w:r>
      <w:r>
        <w:t>70</w:t>
      </w:r>
      <w:r>
        <w:fldChar w:fldCharType="end"/>
      </w:r>
      <w:r>
        <w:rPr>
          <w:rFonts w:hint="eastAsia" w:ascii="仿宋" w:hAnsi="仿宋" w:eastAsia="仿宋" w:cs="仿宋"/>
          <w:color w:val="auto"/>
          <w:highlight w:val="none"/>
        </w:rPr>
        <w:fldChar w:fldCharType="end"/>
      </w:r>
    </w:p>
    <w:p w14:paraId="41718FE7">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_Toc16415 </w:instrText>
      </w:r>
      <w:r>
        <w:rPr>
          <w:rFonts w:hint="eastAsia" w:ascii="仿宋" w:hAnsi="仿宋" w:eastAsia="仿宋" w:cs="仿宋"/>
          <w:highlight w:val="none"/>
        </w:rPr>
        <w:fldChar w:fldCharType="separate"/>
      </w:r>
      <w:r>
        <w:rPr>
          <w:rFonts w:hint="eastAsia" w:ascii="仿宋" w:hAnsi="仿宋" w:eastAsia="仿宋" w:cs="仿宋"/>
          <w:szCs w:val="30"/>
          <w:highlight w:val="none"/>
        </w:rPr>
        <w:t>一、评标方法</w:t>
      </w:r>
      <w:r>
        <w:tab/>
      </w:r>
      <w:r>
        <w:fldChar w:fldCharType="begin"/>
      </w:r>
      <w:r>
        <w:instrText xml:space="preserve"> PAGEREF _Toc16415 \h </w:instrText>
      </w:r>
      <w:r>
        <w:fldChar w:fldCharType="separate"/>
      </w:r>
      <w:r>
        <w:t>76</w:t>
      </w:r>
      <w:r>
        <w:fldChar w:fldCharType="end"/>
      </w:r>
      <w:r>
        <w:rPr>
          <w:rFonts w:hint="eastAsia" w:ascii="仿宋" w:hAnsi="仿宋" w:eastAsia="仿宋" w:cs="仿宋"/>
          <w:color w:val="auto"/>
          <w:highlight w:val="none"/>
        </w:rPr>
        <w:fldChar w:fldCharType="end"/>
      </w:r>
    </w:p>
    <w:p w14:paraId="32078EDF">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_Toc24155 </w:instrText>
      </w:r>
      <w:r>
        <w:rPr>
          <w:rFonts w:hint="eastAsia" w:ascii="仿宋" w:hAnsi="仿宋" w:eastAsia="仿宋" w:cs="仿宋"/>
          <w:highlight w:val="none"/>
        </w:rPr>
        <w:fldChar w:fldCharType="separate"/>
      </w:r>
      <w:r>
        <w:rPr>
          <w:rFonts w:hint="eastAsia" w:ascii="仿宋" w:hAnsi="仿宋" w:eastAsia="仿宋" w:cs="仿宋"/>
          <w:szCs w:val="30"/>
          <w:highlight w:val="none"/>
          <w:lang w:val="en-US" w:eastAsia="zh-CN"/>
        </w:rPr>
        <w:t>二</w:t>
      </w:r>
      <w:r>
        <w:rPr>
          <w:rFonts w:hint="eastAsia" w:ascii="仿宋" w:hAnsi="仿宋" w:eastAsia="仿宋" w:cs="仿宋"/>
          <w:szCs w:val="30"/>
          <w:highlight w:val="none"/>
        </w:rPr>
        <w:t>、评标原则</w:t>
      </w:r>
      <w:r>
        <w:tab/>
      </w:r>
      <w:r>
        <w:fldChar w:fldCharType="begin"/>
      </w:r>
      <w:r>
        <w:instrText xml:space="preserve"> PAGEREF _Toc24155 \h </w:instrText>
      </w:r>
      <w:r>
        <w:fldChar w:fldCharType="separate"/>
      </w:r>
      <w:r>
        <w:t>78</w:t>
      </w:r>
      <w:r>
        <w:fldChar w:fldCharType="end"/>
      </w:r>
      <w:r>
        <w:rPr>
          <w:rFonts w:hint="eastAsia" w:ascii="仿宋" w:hAnsi="仿宋" w:eastAsia="仿宋" w:cs="仿宋"/>
          <w:color w:val="auto"/>
          <w:highlight w:val="none"/>
        </w:rPr>
        <w:fldChar w:fldCharType="end"/>
      </w:r>
    </w:p>
    <w:p w14:paraId="2860AEDF">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_Toc14606 </w:instrText>
      </w:r>
      <w:r>
        <w:rPr>
          <w:rFonts w:hint="eastAsia" w:ascii="仿宋" w:hAnsi="仿宋" w:eastAsia="仿宋" w:cs="仿宋"/>
          <w:highlight w:val="none"/>
        </w:rPr>
        <w:fldChar w:fldCharType="separate"/>
      </w:r>
      <w:r>
        <w:rPr>
          <w:rFonts w:hint="eastAsia" w:ascii="仿宋" w:hAnsi="仿宋" w:eastAsia="仿宋" w:cs="仿宋"/>
          <w:szCs w:val="30"/>
          <w:highlight w:val="none"/>
          <w:lang w:val="en-US" w:eastAsia="zh-CN"/>
        </w:rPr>
        <w:t>三</w:t>
      </w:r>
      <w:r>
        <w:rPr>
          <w:rFonts w:hint="eastAsia" w:ascii="仿宋" w:hAnsi="仿宋" w:eastAsia="仿宋" w:cs="仿宋"/>
          <w:szCs w:val="30"/>
          <w:highlight w:val="none"/>
        </w:rPr>
        <w:t>、评标纪律</w:t>
      </w:r>
      <w:r>
        <w:tab/>
      </w:r>
      <w:r>
        <w:fldChar w:fldCharType="begin"/>
      </w:r>
      <w:r>
        <w:instrText xml:space="preserve"> PAGEREF _Toc14606 \h </w:instrText>
      </w:r>
      <w:r>
        <w:fldChar w:fldCharType="separate"/>
      </w:r>
      <w:r>
        <w:t>79</w:t>
      </w:r>
      <w:r>
        <w:fldChar w:fldCharType="end"/>
      </w:r>
      <w:r>
        <w:rPr>
          <w:rFonts w:hint="eastAsia" w:ascii="仿宋" w:hAnsi="仿宋" w:eastAsia="仿宋" w:cs="仿宋"/>
          <w:color w:val="auto"/>
          <w:highlight w:val="none"/>
        </w:rPr>
        <w:fldChar w:fldCharType="end"/>
      </w:r>
    </w:p>
    <w:p w14:paraId="5B151DF6">
      <w:pPr>
        <w:pStyle w:val="20"/>
        <w:tabs>
          <w:tab w:val="right" w:leader="dot" w:pos="94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_Toc11759 </w:instrText>
      </w:r>
      <w:r>
        <w:rPr>
          <w:rFonts w:hint="eastAsia" w:ascii="仿宋" w:hAnsi="仿宋" w:eastAsia="仿宋" w:cs="仿宋"/>
          <w:highlight w:val="none"/>
        </w:rPr>
        <w:fldChar w:fldCharType="separate"/>
      </w:r>
      <w:r>
        <w:rPr>
          <w:rFonts w:hint="eastAsia" w:ascii="仿宋" w:hAnsi="仿宋" w:eastAsia="仿宋" w:cs="仿宋"/>
          <w:szCs w:val="30"/>
          <w:highlight w:val="none"/>
          <w:lang w:val="en-US" w:eastAsia="zh-CN"/>
        </w:rPr>
        <w:t>四</w:t>
      </w:r>
      <w:r>
        <w:rPr>
          <w:rFonts w:hint="eastAsia" w:ascii="仿宋" w:hAnsi="仿宋" w:eastAsia="仿宋" w:cs="仿宋"/>
          <w:szCs w:val="30"/>
          <w:highlight w:val="none"/>
        </w:rPr>
        <w:t>、评标程序和标准</w:t>
      </w:r>
      <w:r>
        <w:tab/>
      </w:r>
      <w:r>
        <w:fldChar w:fldCharType="begin"/>
      </w:r>
      <w:r>
        <w:instrText xml:space="preserve"> PAGEREF _Toc11759 \h </w:instrText>
      </w:r>
      <w:r>
        <w:fldChar w:fldCharType="separate"/>
      </w:r>
      <w:r>
        <w:t>79</w:t>
      </w:r>
      <w:r>
        <w:fldChar w:fldCharType="end"/>
      </w:r>
      <w:r>
        <w:rPr>
          <w:rFonts w:hint="eastAsia" w:ascii="仿宋" w:hAnsi="仿宋" w:eastAsia="仿宋" w:cs="仿宋"/>
          <w:color w:val="auto"/>
          <w:highlight w:val="none"/>
        </w:rPr>
        <w:fldChar w:fldCharType="end"/>
      </w:r>
    </w:p>
    <w:p w14:paraId="593E860D">
      <w:pPr>
        <w:pStyle w:val="8"/>
        <w:shd w:val="clear"/>
        <w:spacing w:before="0" w:line="300" w:lineRule="exact"/>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228304AB">
      <w:pPr>
        <w:pStyle w:val="2"/>
        <w:numPr>
          <w:ilvl w:val="0"/>
          <w:numId w:val="2"/>
        </w:numPr>
        <w:shd w:val="clear"/>
        <w:outlineLvl w:val="9"/>
        <w:rPr>
          <w:rFonts w:hint="eastAsia" w:ascii="仿宋" w:hAnsi="仿宋" w:eastAsia="仿宋" w:cs="仿宋"/>
          <w:color w:val="auto"/>
          <w:highlight w:val="none"/>
        </w:rPr>
        <w:sectPr>
          <w:footerReference r:id="rId5" w:type="default"/>
          <w:pgSz w:w="11906" w:h="16838"/>
          <w:pgMar w:top="1418" w:right="1247" w:bottom="1418" w:left="1247" w:header="850" w:footer="851" w:gutter="0"/>
          <w:pgBorders>
            <w:top w:val="none" w:sz="0" w:space="0"/>
            <w:left w:val="none" w:sz="0" w:space="0"/>
            <w:bottom w:val="none" w:sz="0" w:space="0"/>
            <w:right w:val="none" w:sz="0" w:space="0"/>
          </w:pgBorders>
          <w:pgNumType w:start="1"/>
          <w:cols w:space="720" w:num="1"/>
          <w:docGrid w:linePitch="312" w:charSpace="0"/>
        </w:sectPr>
      </w:pPr>
      <w:bookmarkStart w:id="0" w:name="_Toc364392598"/>
      <w:bookmarkStart w:id="1" w:name="_Toc244341279"/>
      <w:bookmarkStart w:id="2" w:name="_Toc18506"/>
      <w:bookmarkStart w:id="3" w:name="_Toc4779"/>
      <w:bookmarkStart w:id="4" w:name="_Toc23332"/>
      <w:bookmarkStart w:id="5" w:name="_Toc13887"/>
      <w:bookmarkStart w:id="6" w:name="_Toc5293"/>
    </w:p>
    <w:p w14:paraId="55FEE7D4">
      <w:pPr>
        <w:pStyle w:val="2"/>
        <w:shd w:val="clear"/>
        <w:outlineLvl w:val="0"/>
        <w:rPr>
          <w:rFonts w:hint="eastAsia" w:ascii="仿宋" w:hAnsi="仿宋" w:eastAsia="仿宋" w:cs="仿宋"/>
          <w:color w:val="auto"/>
          <w:highlight w:val="none"/>
        </w:rPr>
      </w:pPr>
      <w:bookmarkStart w:id="7" w:name="_Toc6136"/>
      <w:r>
        <w:rPr>
          <w:rFonts w:hint="eastAsia" w:ascii="仿宋" w:hAnsi="仿宋" w:eastAsia="仿宋" w:cs="仿宋"/>
          <w:color w:val="auto"/>
          <w:highlight w:val="none"/>
        </w:rPr>
        <w:t>第一章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招标</w:t>
      </w:r>
      <w:bookmarkEnd w:id="0"/>
      <w:bookmarkEnd w:id="1"/>
      <w:r>
        <w:rPr>
          <w:rFonts w:hint="eastAsia" w:ascii="仿宋" w:hAnsi="仿宋" w:eastAsia="仿宋" w:cs="仿宋"/>
          <w:color w:val="auto"/>
          <w:highlight w:val="none"/>
        </w:rPr>
        <w:t>公告</w:t>
      </w:r>
      <w:bookmarkEnd w:id="2"/>
      <w:bookmarkEnd w:id="3"/>
      <w:bookmarkEnd w:id="4"/>
      <w:bookmarkEnd w:id="5"/>
      <w:bookmarkEnd w:id="6"/>
      <w:bookmarkEnd w:id="7"/>
    </w:p>
    <w:p w14:paraId="1BCE6505">
      <w:pPr>
        <w:keepNext w:val="0"/>
        <w:keepLines w:val="0"/>
        <w:pageBreakBefore w:val="0"/>
        <w:widowControl w:val="0"/>
        <w:pBdr>
          <w:top w:val="single" w:color="auto" w:sz="4" w:space="6"/>
          <w:left w:val="single" w:color="auto" w:sz="4" w:space="4"/>
          <w:bottom w:val="single" w:color="auto" w:sz="4" w:space="1"/>
          <w:right w:val="single" w:color="auto" w:sz="4" w:space="4"/>
        </w:pBdr>
        <w:shd w:val="clear"/>
        <w:kinsoku/>
        <w:wordWrap/>
        <w:overflowPunct/>
        <w:topLinePunct w:val="0"/>
        <w:autoSpaceDE w:val="0"/>
        <w:autoSpaceDN w:val="0"/>
        <w:bidi w:val="0"/>
        <w:adjustRightInd w:val="0"/>
        <w:snapToGrid/>
        <w:spacing w:line="360" w:lineRule="auto"/>
        <w:ind w:right="0" w:rightChars="0"/>
        <w:jc w:val="center"/>
        <w:textAlignment w:val="auto"/>
        <w:rPr>
          <w:rFonts w:hint="eastAsia" w:ascii="仿宋" w:hAnsi="仿宋" w:eastAsia="仿宋" w:cs="仿宋"/>
          <w:b/>
          <w:color w:val="auto"/>
          <w:kern w:val="0"/>
          <w:sz w:val="24"/>
          <w:szCs w:val="22"/>
          <w:highlight w:val="none"/>
          <w:u w:val="none"/>
          <w:lang w:val="en-US" w:eastAsia="zh-CN"/>
        </w:rPr>
      </w:pPr>
      <w:bookmarkStart w:id="8" w:name="_Toc17257"/>
      <w:bookmarkStart w:id="9" w:name="_Toc29102"/>
      <w:bookmarkStart w:id="10" w:name="_Toc1850"/>
      <w:bookmarkStart w:id="11" w:name="_Toc13484"/>
      <w:bookmarkStart w:id="12" w:name="_Toc7911"/>
      <w:r>
        <w:rPr>
          <w:rFonts w:hint="eastAsia" w:ascii="仿宋" w:hAnsi="仿宋" w:eastAsia="仿宋" w:cs="仿宋"/>
          <w:b/>
          <w:color w:val="auto"/>
          <w:kern w:val="0"/>
          <w:sz w:val="24"/>
          <w:szCs w:val="22"/>
          <w:highlight w:val="none"/>
          <w:u w:val="none"/>
          <w:lang w:val="en-US" w:eastAsia="zh-CN"/>
        </w:rPr>
        <w:t>项目概况</w:t>
      </w:r>
    </w:p>
    <w:p w14:paraId="42A7432B">
      <w:pPr>
        <w:keepNext w:val="0"/>
        <w:keepLines w:val="0"/>
        <w:pageBreakBefore w:val="0"/>
        <w:widowControl w:val="0"/>
        <w:pBdr>
          <w:top w:val="single" w:color="auto" w:sz="4" w:space="6"/>
          <w:left w:val="single" w:color="auto" w:sz="4" w:space="4"/>
          <w:bottom w:val="single" w:color="auto" w:sz="4" w:space="1"/>
          <w:right w:val="single" w:color="auto" w:sz="4" w:space="4"/>
        </w:pBdr>
        <w:shd w:val="clear"/>
        <w:kinsoku/>
        <w:wordWrap/>
        <w:overflowPunct/>
        <w:topLinePunct w:val="0"/>
        <w:autoSpaceDE w:val="0"/>
        <w:autoSpaceDN w:val="0"/>
        <w:bidi w:val="0"/>
        <w:adjustRightInd w:val="0"/>
        <w:snapToGrid/>
        <w:spacing w:line="360" w:lineRule="auto"/>
        <w:ind w:left="0" w:leftChars="0" w:right="0" w:rightChars="0" w:firstLine="482" w:firstLineChars="200"/>
        <w:jc w:val="both"/>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2"/>
          <w:highlight w:val="none"/>
          <w:u w:val="none"/>
          <w:lang w:eastAsia="zh-CN"/>
        </w:rPr>
        <w:t>永胜县中医医院中药饮片采购项目</w:t>
      </w:r>
      <w:r>
        <w:rPr>
          <w:rFonts w:hint="eastAsia" w:ascii="仿宋" w:hAnsi="仿宋" w:eastAsia="仿宋" w:cs="仿宋"/>
          <w:b/>
          <w:color w:val="auto"/>
          <w:kern w:val="0"/>
          <w:sz w:val="24"/>
          <w:szCs w:val="22"/>
          <w:highlight w:val="none"/>
          <w:u w:val="none"/>
        </w:rPr>
        <w:t>公开招标</w:t>
      </w:r>
      <w:r>
        <w:rPr>
          <w:rFonts w:hint="eastAsia" w:ascii="仿宋" w:hAnsi="仿宋" w:eastAsia="仿宋" w:cs="仿宋"/>
          <w:bCs/>
          <w:color w:val="auto"/>
          <w:kern w:val="0"/>
          <w:sz w:val="24"/>
          <w:szCs w:val="22"/>
          <w:highlight w:val="none"/>
        </w:rPr>
        <w:t>的潜在投标人</w:t>
      </w:r>
      <w:r>
        <w:rPr>
          <w:rFonts w:hint="eastAsia" w:ascii="仿宋" w:hAnsi="仿宋" w:eastAsia="仿宋" w:cs="仿宋"/>
          <w:bCs/>
          <w:color w:val="auto"/>
          <w:sz w:val="24"/>
          <w:highlight w:val="none"/>
        </w:rPr>
        <w:t>应</w:t>
      </w:r>
      <w:r>
        <w:rPr>
          <w:rFonts w:hint="eastAsia" w:ascii="仿宋" w:hAnsi="仿宋" w:eastAsia="仿宋" w:cs="仿宋"/>
          <w:b w:val="0"/>
          <w:bCs/>
          <w:color w:val="auto"/>
          <w:sz w:val="24"/>
          <w:highlight w:val="none"/>
        </w:rPr>
        <w:t>在</w:t>
      </w:r>
      <w:r>
        <w:rPr>
          <w:rFonts w:hint="eastAsia" w:ascii="仿宋" w:hAnsi="仿宋" w:eastAsia="仿宋" w:cs="仿宋"/>
          <w:b/>
          <w:bCs/>
          <w:color w:val="auto"/>
          <w:sz w:val="24"/>
          <w:highlight w:val="none"/>
          <w:lang w:eastAsia="zh-CN"/>
        </w:rPr>
        <w:t>政采云平台（https:www.zcygov.cn）</w:t>
      </w:r>
      <w:r>
        <w:rPr>
          <w:rStyle w:val="27"/>
          <w:rFonts w:hint="eastAsia" w:ascii="仿宋" w:hAnsi="仿宋" w:eastAsia="仿宋" w:cs="仿宋"/>
          <w:b/>
          <w:color w:val="auto"/>
          <w:sz w:val="24"/>
          <w:szCs w:val="22"/>
          <w:highlight w:val="none"/>
        </w:rPr>
        <w:fldChar w:fldCharType="begin"/>
      </w:r>
      <w:r>
        <w:rPr>
          <w:rStyle w:val="27"/>
          <w:rFonts w:hint="eastAsia" w:ascii="仿宋" w:hAnsi="仿宋" w:eastAsia="仿宋" w:cs="仿宋"/>
          <w:b/>
          <w:color w:val="auto"/>
          <w:sz w:val="24"/>
          <w:szCs w:val="22"/>
          <w:highlight w:val="none"/>
        </w:rPr>
        <w:instrText xml:space="preserve"> HYPERLINK "http://116.55.195.54:8001/#/homePage，点击切换至\“丽江市\”）获取招标文件，并于2022年" </w:instrText>
      </w:r>
      <w:r>
        <w:rPr>
          <w:rStyle w:val="27"/>
          <w:rFonts w:hint="eastAsia" w:ascii="仿宋" w:hAnsi="仿宋" w:eastAsia="仿宋" w:cs="仿宋"/>
          <w:b/>
          <w:color w:val="auto"/>
          <w:sz w:val="24"/>
          <w:szCs w:val="22"/>
          <w:highlight w:val="none"/>
        </w:rPr>
        <w:fldChar w:fldCharType="separate"/>
      </w:r>
      <w:r>
        <w:rPr>
          <w:rStyle w:val="27"/>
          <w:rFonts w:hint="eastAsia" w:ascii="仿宋" w:hAnsi="仿宋" w:eastAsia="仿宋" w:cs="仿宋"/>
          <w:b w:val="0"/>
          <w:bCs/>
          <w:color w:val="auto"/>
          <w:sz w:val="24"/>
          <w:szCs w:val="22"/>
          <w:highlight w:val="none"/>
        </w:rPr>
        <w:t>获取招标文件，</w:t>
      </w:r>
      <w:r>
        <w:rPr>
          <w:rStyle w:val="27"/>
          <w:rFonts w:hint="eastAsia" w:ascii="仿宋" w:hAnsi="仿宋" w:eastAsia="仿宋" w:cs="仿宋"/>
          <w:b/>
          <w:color w:val="auto"/>
          <w:sz w:val="24"/>
          <w:szCs w:val="22"/>
          <w:highlight w:val="none"/>
        </w:rPr>
        <w:t>并于202</w:t>
      </w:r>
      <w:r>
        <w:rPr>
          <w:rStyle w:val="27"/>
          <w:rFonts w:hint="eastAsia" w:ascii="仿宋" w:hAnsi="仿宋" w:eastAsia="仿宋" w:cs="仿宋"/>
          <w:b/>
          <w:color w:val="auto"/>
          <w:sz w:val="24"/>
          <w:szCs w:val="22"/>
          <w:highlight w:val="none"/>
          <w:lang w:val="en-US" w:eastAsia="zh-CN"/>
        </w:rPr>
        <w:t>5-</w:t>
      </w:r>
      <w:r>
        <w:rPr>
          <w:rStyle w:val="27"/>
          <w:rFonts w:hint="eastAsia" w:ascii="仿宋" w:hAnsi="仿宋" w:eastAsia="仿宋" w:cs="仿宋"/>
          <w:b/>
          <w:color w:val="auto"/>
          <w:sz w:val="24"/>
          <w:szCs w:val="22"/>
          <w:highlight w:val="none"/>
        </w:rPr>
        <w:fldChar w:fldCharType="end"/>
      </w:r>
      <w:r>
        <w:rPr>
          <w:rStyle w:val="27"/>
          <w:rFonts w:hint="eastAsia" w:ascii="仿宋" w:hAnsi="仿宋" w:eastAsia="仿宋" w:cs="仿宋"/>
          <w:b/>
          <w:color w:val="auto"/>
          <w:sz w:val="24"/>
          <w:szCs w:val="22"/>
          <w:highlight w:val="none"/>
          <w:lang w:val="en-US" w:eastAsia="zh-CN"/>
        </w:rPr>
        <w:t>04-15  09:30</w:t>
      </w:r>
      <w:r>
        <w:rPr>
          <w:rStyle w:val="27"/>
          <w:rFonts w:hint="eastAsia" w:ascii="仿宋" w:hAnsi="仿宋" w:eastAsia="仿宋" w:cs="仿宋"/>
          <w:b/>
          <w:color w:val="auto"/>
          <w:sz w:val="24"/>
          <w:szCs w:val="22"/>
          <w:highlight w:val="none"/>
          <w:u w:val="none"/>
        </w:rPr>
        <w:t>（</w:t>
      </w:r>
      <w:r>
        <w:rPr>
          <w:rFonts w:hint="eastAsia" w:ascii="仿宋" w:hAnsi="仿宋" w:eastAsia="仿宋" w:cs="仿宋"/>
          <w:b/>
          <w:color w:val="auto"/>
          <w:sz w:val="24"/>
          <w:highlight w:val="none"/>
          <w:u w:val="none"/>
        </w:rPr>
        <w:t>北京时间）</w:t>
      </w:r>
      <w:r>
        <w:rPr>
          <w:rFonts w:hint="eastAsia" w:ascii="仿宋" w:hAnsi="仿宋" w:eastAsia="仿宋" w:cs="仿宋"/>
          <w:bCs/>
          <w:color w:val="auto"/>
          <w:sz w:val="24"/>
          <w:highlight w:val="none"/>
        </w:rPr>
        <w:t>前</w:t>
      </w:r>
      <w:r>
        <w:rPr>
          <w:rFonts w:hint="eastAsia" w:ascii="仿宋" w:hAnsi="仿宋" w:eastAsia="仿宋" w:cs="仿宋"/>
          <w:bCs/>
          <w:color w:val="auto"/>
          <w:sz w:val="24"/>
          <w:highlight w:val="none"/>
          <w:lang w:val="en-US" w:eastAsia="zh-CN"/>
        </w:rPr>
        <w:t>递交</w:t>
      </w:r>
      <w:r>
        <w:rPr>
          <w:rFonts w:hint="eastAsia" w:ascii="仿宋" w:hAnsi="仿宋" w:eastAsia="仿宋" w:cs="仿宋"/>
          <w:bCs/>
          <w:color w:val="auto"/>
          <w:sz w:val="24"/>
          <w:highlight w:val="none"/>
        </w:rPr>
        <w:t>投标文件。</w:t>
      </w:r>
    </w:p>
    <w:p w14:paraId="2F654C5A">
      <w:pPr>
        <w:pStyle w:val="3"/>
        <w:shd w:val="clear"/>
        <w:spacing w:before="240" w:beforeLines="100" w:line="360" w:lineRule="auto"/>
        <w:ind w:firstLine="187" w:firstLineChars="62"/>
        <w:outlineLvl w:val="1"/>
        <w:rPr>
          <w:rFonts w:hint="eastAsia" w:ascii="仿宋" w:hAnsi="仿宋" w:eastAsia="仿宋" w:cs="仿宋"/>
          <w:color w:val="auto"/>
          <w:highlight w:val="none"/>
        </w:rPr>
      </w:pPr>
      <w:bookmarkStart w:id="13" w:name="_Toc29469"/>
      <w:r>
        <w:rPr>
          <w:rFonts w:hint="eastAsia" w:ascii="仿宋" w:hAnsi="仿宋" w:eastAsia="仿宋" w:cs="仿宋"/>
          <w:color w:val="auto"/>
          <w:sz w:val="30"/>
          <w:szCs w:val="30"/>
          <w:highlight w:val="none"/>
        </w:rPr>
        <w:t>一、项目基本情况</w:t>
      </w:r>
      <w:bookmarkEnd w:id="8"/>
      <w:bookmarkEnd w:id="9"/>
      <w:bookmarkEnd w:id="10"/>
      <w:bookmarkEnd w:id="11"/>
      <w:bookmarkEnd w:id="13"/>
    </w:p>
    <w:p w14:paraId="7F3079D4">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1、项目编号：LJZC2025-G1-00112-YNLB-0058</w:t>
      </w:r>
    </w:p>
    <w:p w14:paraId="09F375D6">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2、项目名称：永胜县中医医院中药饮片采购项目</w:t>
      </w:r>
    </w:p>
    <w:p w14:paraId="1014EB47">
      <w:pPr>
        <w:shd w:val="clear" w:fill="FFFFFF" w:themeFill="background1"/>
        <w:spacing w:line="360" w:lineRule="auto"/>
        <w:ind w:firstLine="480" w:firstLineChars="200"/>
        <w:contextualSpacing/>
        <w:rPr>
          <w:rFonts w:hint="eastAsia" w:ascii="仿宋" w:hAnsi="仿宋" w:eastAsia="仿宋" w:cs="仿宋"/>
          <w:strike/>
          <w:dstrike w:val="0"/>
          <w:color w:val="auto"/>
          <w:sz w:val="24"/>
          <w:szCs w:val="22"/>
          <w:highlight w:val="none"/>
          <w:lang w:val="en-US" w:eastAsia="zh-CN"/>
        </w:rPr>
      </w:pPr>
      <w:r>
        <w:rPr>
          <w:rFonts w:hint="eastAsia" w:ascii="仿宋" w:hAnsi="仿宋" w:eastAsia="仿宋" w:cs="仿宋"/>
          <w:color w:val="auto"/>
          <w:sz w:val="24"/>
          <w:szCs w:val="22"/>
          <w:highlight w:val="none"/>
          <w:lang w:val="en-US" w:eastAsia="zh-CN"/>
        </w:rPr>
        <w:t>3、预算金额</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600万元</w:t>
      </w:r>
    </w:p>
    <w:p w14:paraId="05EC45BB">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22"/>
          <w:highlight w:val="none"/>
        </w:rPr>
        <w:t>最高限价</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600万元</w:t>
      </w:r>
    </w:p>
    <w:p w14:paraId="7A178354">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采购需求：</w:t>
      </w:r>
      <w:r>
        <w:rPr>
          <w:rFonts w:hint="eastAsia" w:ascii="仿宋" w:hAnsi="仿宋" w:eastAsia="仿宋" w:cs="仿宋"/>
          <w:color w:val="auto"/>
          <w:sz w:val="24"/>
          <w:szCs w:val="22"/>
          <w:highlight w:val="none"/>
          <w:lang w:val="en-US" w:eastAsia="zh-CN"/>
        </w:rPr>
        <w:t>永胜县中医医院中药饮片采购，中药饮片（包括但不限于第五章采购需求的采购清单中所列的所有品种）供应、运输、装卸、售后等，实际供应品种和数量以招标人分次委托为准。</w:t>
      </w:r>
    </w:p>
    <w:p w14:paraId="6520A607">
      <w:pPr>
        <w:keepNext w:val="0"/>
        <w:keepLines w:val="0"/>
        <w:pageBreakBefore w:val="0"/>
        <w:widowControl w:val="0"/>
        <w:numPr>
          <w:ilvl w:val="0"/>
          <w:numId w:val="3"/>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合同履行期限：自合同签订之日起，至预算金额用完为止，医院每年对供货方进行质量、服务、履约能力考核，考核合格后续签合同。对不可抗力、招标人预算及业务调整、国家及省市集中采购等因素不能再实施本项目的，招标人将以书面形式告知中标人，并有权单方面终止项目合同的执行，招标人对此不承担任何责任。在合同期内出现两次以上质量问题退货或两次以上逾期交货的，整改期间或整改后仍出现同样问题，招标人有权解除合同。</w:t>
      </w:r>
    </w:p>
    <w:p w14:paraId="05BAF953">
      <w:pPr>
        <w:keepNext w:val="0"/>
        <w:keepLines w:val="0"/>
        <w:pageBreakBefore w:val="0"/>
        <w:widowControl w:val="0"/>
        <w:numPr>
          <w:ilvl w:val="0"/>
          <w:numId w:val="3"/>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供货时限：接到招标人通知后，分批次按采购方要求完成所有中药饮片的供货，在接到采购通知后，急需中药饮片要求24小时配送到位，一般中药饮片不超过5个工作日，并能保证一周内多次配送，供货时需附带中药饮片每批次每种中药饮片检验报告书。</w:t>
      </w:r>
    </w:p>
    <w:p w14:paraId="5F9A3F5C">
      <w:pPr>
        <w:keepNext w:val="0"/>
        <w:keepLines w:val="0"/>
        <w:pageBreakBefore w:val="0"/>
        <w:widowControl w:val="0"/>
        <w:numPr>
          <w:ilvl w:val="0"/>
          <w:numId w:val="3"/>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质量标准：应符合现行《中华人民共和国药典》（以下简称《药典》)的相关规定，《药典》中未收载的中药，应符合部颁、省级中药饮片质量标准，或者执行国家、省、自治区、直辖市管理部门的有关规定。</w:t>
      </w:r>
    </w:p>
    <w:p w14:paraId="534CF095">
      <w:pPr>
        <w:keepNext w:val="0"/>
        <w:keepLines w:val="0"/>
        <w:pageBreakBefore w:val="0"/>
        <w:widowControl w:val="0"/>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9、本项目（否）接受联合体投标。</w:t>
      </w:r>
    </w:p>
    <w:p w14:paraId="06AC61A4">
      <w:pPr>
        <w:pStyle w:val="3"/>
        <w:shd w:val="clear"/>
        <w:spacing w:line="360" w:lineRule="auto"/>
        <w:ind w:left="0" w:leftChars="0" w:firstLine="0" w:firstLineChars="0"/>
        <w:outlineLvl w:val="1"/>
        <w:rPr>
          <w:rFonts w:hint="eastAsia" w:ascii="仿宋" w:hAnsi="仿宋" w:eastAsia="仿宋" w:cs="仿宋"/>
          <w:color w:val="auto"/>
          <w:highlight w:val="none"/>
        </w:rPr>
      </w:pPr>
      <w:bookmarkStart w:id="14" w:name="_Toc16644"/>
      <w:bookmarkStart w:id="15" w:name="_Toc4204"/>
      <w:bookmarkStart w:id="16" w:name="_Toc27622"/>
      <w:bookmarkStart w:id="17" w:name="_Toc9535"/>
      <w:bookmarkStart w:id="18" w:name="_Toc13422"/>
      <w:bookmarkStart w:id="19" w:name="_Toc24218"/>
      <w:r>
        <w:rPr>
          <w:rFonts w:hint="eastAsia" w:ascii="仿宋" w:hAnsi="仿宋" w:eastAsia="仿宋" w:cs="仿宋"/>
          <w:color w:val="auto"/>
          <w:sz w:val="30"/>
          <w:szCs w:val="30"/>
          <w:highlight w:val="none"/>
        </w:rPr>
        <w:t>二、申请人的资格要求</w:t>
      </w:r>
      <w:bookmarkEnd w:id="14"/>
      <w:bookmarkEnd w:id="15"/>
      <w:bookmarkEnd w:id="16"/>
      <w:bookmarkEnd w:id="17"/>
      <w:bookmarkEnd w:id="18"/>
      <w:bookmarkEnd w:id="19"/>
    </w:p>
    <w:p w14:paraId="7CA64C48">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1.满足《中华人民共和国政府采购法》第二十二条规定</w:t>
      </w:r>
      <w:r>
        <w:rPr>
          <w:rFonts w:hint="eastAsia" w:ascii="仿宋" w:hAnsi="仿宋" w:eastAsia="仿宋" w:cs="仿宋"/>
          <w:color w:val="auto"/>
          <w:sz w:val="24"/>
          <w:szCs w:val="22"/>
          <w:highlight w:val="none"/>
          <w:lang w:eastAsia="zh-CN"/>
        </w:rPr>
        <w:t>。</w:t>
      </w:r>
    </w:p>
    <w:p w14:paraId="584921CA">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1.1具有独立承担民事责任的能力</w:t>
      </w:r>
      <w:r>
        <w:rPr>
          <w:rFonts w:hint="eastAsia" w:ascii="仿宋" w:hAnsi="仿宋" w:eastAsia="仿宋" w:cs="仿宋"/>
          <w:color w:val="auto"/>
          <w:sz w:val="24"/>
          <w:szCs w:val="22"/>
          <w:highlight w:val="none"/>
          <w:lang w:eastAsia="zh-CN"/>
        </w:rPr>
        <w:t>；</w:t>
      </w:r>
    </w:p>
    <w:p w14:paraId="7FB25295">
      <w:pPr>
        <w:shd w:val="clear" w:fill="FFFFFF" w:themeFill="background1"/>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①若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为企业法人：</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提供“营业执照”；②若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为事业法人：</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提供“事业单位法人证书或统一社会信用代码证书”；③若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为其他组织：</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提供“对应主管部门颁发的准许执业证明文件或营业执照”；④若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为自然人：</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提供“身份证明材料”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注：上述材料需提供扫描件</w:t>
      </w:r>
      <w:r>
        <w:rPr>
          <w:rFonts w:hint="eastAsia" w:ascii="仿宋" w:hAnsi="仿宋" w:eastAsia="仿宋" w:cs="仿宋"/>
          <w:color w:val="auto"/>
          <w:sz w:val="24"/>
          <w:highlight w:val="none"/>
          <w:lang w:eastAsia="zh-CN"/>
        </w:rPr>
        <w:t>）</w:t>
      </w:r>
    </w:p>
    <w:p w14:paraId="110BC3E2">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1.2</w:t>
      </w:r>
      <w:r>
        <w:rPr>
          <w:rFonts w:hint="eastAsia" w:ascii="仿宋" w:hAnsi="仿宋" w:eastAsia="仿宋" w:cs="仿宋"/>
          <w:color w:val="auto"/>
          <w:sz w:val="24"/>
          <w:szCs w:val="22"/>
          <w:highlight w:val="none"/>
          <w:lang w:val="en-US" w:eastAsia="zh-CN"/>
        </w:rPr>
        <w:t>具</w:t>
      </w:r>
      <w:r>
        <w:rPr>
          <w:rFonts w:hint="eastAsia" w:ascii="仿宋" w:hAnsi="仿宋" w:eastAsia="仿宋" w:cs="仿宋"/>
          <w:color w:val="auto"/>
          <w:sz w:val="24"/>
          <w:szCs w:val="22"/>
          <w:highlight w:val="none"/>
        </w:rPr>
        <w:t>有良好的商业信誉和健全的财务会计制度</w:t>
      </w:r>
      <w:r>
        <w:rPr>
          <w:rFonts w:hint="eastAsia" w:ascii="仿宋" w:hAnsi="仿宋" w:eastAsia="仿宋" w:cs="仿宋"/>
          <w:color w:val="auto"/>
          <w:sz w:val="24"/>
          <w:szCs w:val="22"/>
          <w:highlight w:val="none"/>
          <w:lang w:eastAsia="zh-CN"/>
        </w:rPr>
        <w:t>；</w:t>
      </w:r>
    </w:p>
    <w:p w14:paraId="2EDB5F25">
      <w:pPr>
        <w:shd w:val="clear" w:fill="FFFFFF" w:themeFill="background1"/>
        <w:spacing w:line="360" w:lineRule="auto"/>
        <w:ind w:firstLine="480" w:firstLineChars="200"/>
        <w:contextualSpacing/>
        <w:rPr>
          <w:rFonts w:hint="eastAsia" w:ascii="仿宋" w:hAnsi="仿宋" w:eastAsia="仿宋" w:cs="仿宋"/>
          <w:color w:val="auto"/>
          <w:sz w:val="24"/>
          <w:szCs w:val="22"/>
          <w:highlight w:val="green"/>
          <w:lang w:eastAsia="zh-CN"/>
        </w:rPr>
      </w:pPr>
      <w:r>
        <w:rPr>
          <w:rFonts w:hint="eastAsia" w:ascii="仿宋" w:hAnsi="仿宋" w:eastAsia="仿宋" w:cs="仿宋"/>
          <w:color w:val="auto"/>
          <w:sz w:val="24"/>
          <w:szCs w:val="22"/>
          <w:highlight w:val="none"/>
          <w:lang w:eastAsia="zh-CN"/>
        </w:rPr>
        <w:t>①提供2022年（含2022年）至今任意一年度经审计的财务会计报告及</w:t>
      </w:r>
      <w:r>
        <w:rPr>
          <w:rFonts w:hint="eastAsia" w:ascii="仿宋" w:hAnsi="仿宋" w:eastAsia="仿宋" w:cs="仿宋"/>
          <w:sz w:val="24"/>
          <w:highlight w:val="none"/>
        </w:rPr>
        <w:t>财务报表（包括资产负债表、利润表、现金流量表）</w:t>
      </w:r>
      <w:r>
        <w:rPr>
          <w:rFonts w:hint="eastAsia" w:ascii="仿宋" w:hAnsi="仿宋" w:eastAsia="仿宋" w:cs="仿宋"/>
          <w:color w:val="auto"/>
          <w:sz w:val="24"/>
          <w:szCs w:val="22"/>
          <w:highlight w:val="none"/>
          <w:lang w:eastAsia="zh-CN"/>
        </w:rPr>
        <w:t>，成立不满1年的，提供自成立至今的财务报表（包括资产负债表、利润表、现金流量表）（</w:t>
      </w:r>
      <w:r>
        <w:rPr>
          <w:rFonts w:hint="eastAsia" w:ascii="仿宋" w:hAnsi="仿宋" w:eastAsia="仿宋" w:cs="仿宋"/>
          <w:color w:val="auto"/>
          <w:sz w:val="24"/>
          <w:szCs w:val="22"/>
          <w:highlight w:val="none"/>
          <w:lang w:val="en-US" w:eastAsia="zh-CN"/>
        </w:rPr>
        <w:t>若</w:t>
      </w:r>
      <w:r>
        <w:rPr>
          <w:rFonts w:hint="eastAsia" w:ascii="仿宋" w:hAnsi="仿宋" w:eastAsia="仿宋" w:cs="仿宋"/>
          <w:sz w:val="24"/>
          <w:highlight w:val="none"/>
        </w:rPr>
        <w:t>投标人为自然人的</w:t>
      </w:r>
      <w:r>
        <w:rPr>
          <w:rFonts w:hint="eastAsia" w:ascii="仿宋" w:hAnsi="仿宋" w:eastAsia="仿宋" w:cs="仿宋"/>
          <w:sz w:val="24"/>
          <w:highlight w:val="none"/>
          <w:lang w:val="en-US" w:eastAsia="zh-CN"/>
        </w:rPr>
        <w:t>也可</w:t>
      </w:r>
      <w:r>
        <w:rPr>
          <w:rFonts w:hint="eastAsia" w:ascii="仿宋" w:hAnsi="仿宋" w:eastAsia="仿宋" w:cs="仿宋"/>
          <w:sz w:val="24"/>
          <w:highlight w:val="none"/>
        </w:rPr>
        <w:t>提供承诺函</w:t>
      </w:r>
      <w:r>
        <w:rPr>
          <w:rFonts w:hint="eastAsia" w:ascii="仿宋" w:hAnsi="仿宋" w:eastAsia="仿宋" w:cs="仿宋"/>
          <w:color w:val="auto"/>
          <w:sz w:val="24"/>
          <w:szCs w:val="22"/>
          <w:highlight w:val="none"/>
          <w:lang w:val="en-US" w:eastAsia="zh-CN"/>
        </w:rPr>
        <w:t>，若为</w:t>
      </w:r>
      <w:r>
        <w:rPr>
          <w:rFonts w:hint="eastAsia" w:ascii="仿宋" w:hAnsi="仿宋" w:eastAsia="仿宋" w:cs="仿宋"/>
          <w:sz w:val="24"/>
          <w:highlight w:val="none"/>
        </w:rPr>
        <w:t>非营利性单位或者社会团体或者其他机关事业单位</w:t>
      </w:r>
      <w:r>
        <w:rPr>
          <w:rFonts w:hint="eastAsia" w:ascii="仿宋" w:hAnsi="仿宋" w:eastAsia="仿宋" w:cs="仿宋"/>
          <w:sz w:val="24"/>
          <w:highlight w:val="none"/>
          <w:lang w:val="en-US" w:eastAsia="zh-CN"/>
        </w:rPr>
        <w:t>提供</w:t>
      </w:r>
      <w:r>
        <w:rPr>
          <w:rFonts w:hint="eastAsia" w:ascii="仿宋" w:hAnsi="仿宋" w:eastAsia="仿宋" w:cs="仿宋"/>
          <w:sz w:val="24"/>
          <w:highlight w:val="none"/>
        </w:rPr>
        <w:t>符合财务</w:t>
      </w:r>
      <w:r>
        <w:rPr>
          <w:rFonts w:hint="eastAsia" w:ascii="仿宋" w:hAnsi="仿宋" w:eastAsia="仿宋" w:cs="仿宋"/>
          <w:sz w:val="24"/>
          <w:highlight w:val="none"/>
          <w:lang w:eastAsia="zh-CN"/>
        </w:rPr>
        <w:t>会计制度</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lang w:eastAsia="zh-CN"/>
        </w:rPr>
        <w:t>的证明材料或者提供承诺函）</w:t>
      </w:r>
      <w:r>
        <w:rPr>
          <w:rFonts w:hint="eastAsia" w:ascii="仿宋" w:hAnsi="仿宋" w:eastAsia="仿宋" w:cs="仿宋"/>
          <w:color w:val="auto"/>
          <w:sz w:val="24"/>
          <w:szCs w:val="22"/>
          <w:highlight w:val="none"/>
          <w:lang w:eastAsia="zh-CN"/>
        </w:rPr>
        <w:t>；②提供在提交投标文件截止时间前三个月内银行开具的资信证明或银行存款证明或其他财务说明；③提供财政部门认可的政府采购专业担保机构对投标人进行资信审查后出具的投标担保函。（注：上述①—③项证明材料，提供任意一项即可）</w:t>
      </w:r>
    </w:p>
    <w:p w14:paraId="375FCFEF">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1.3具有履行合同所必需的设备和专业技术能力；（提供书面声明或证明材料）</w:t>
      </w:r>
    </w:p>
    <w:p w14:paraId="45C3BA3F">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1.4有依法缴纳税收和社会保障资金的良好记录；</w:t>
      </w:r>
    </w:p>
    <w:p w14:paraId="6CFEB015">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①提供税款所属时</w:t>
      </w:r>
      <w:r>
        <w:rPr>
          <w:rFonts w:hint="eastAsia" w:ascii="仿宋" w:hAnsi="仿宋" w:eastAsia="仿宋" w:cs="仿宋"/>
          <w:color w:val="000000" w:themeColor="text1"/>
          <w:sz w:val="24"/>
          <w:szCs w:val="22"/>
          <w:highlight w:val="none"/>
          <w:lang w:eastAsia="zh-CN"/>
          <w14:textFill>
            <w14:solidFill>
              <w14:schemeClr w14:val="tx1"/>
            </w14:solidFill>
          </w14:textFill>
        </w:rPr>
        <w:t>期内</w:t>
      </w:r>
      <w:r>
        <w:rPr>
          <w:rFonts w:hint="eastAsia" w:ascii="仿宋" w:hAnsi="仿宋" w:eastAsia="仿宋" w:cs="仿宋"/>
          <w:color w:val="000000" w:themeColor="text1"/>
          <w:sz w:val="24"/>
          <w:szCs w:val="22"/>
          <w:highlight w:val="none"/>
          <w14:textFill>
            <w14:solidFill>
              <w14:schemeClr w14:val="tx1"/>
            </w14:solidFill>
          </w14:textFill>
        </w:rPr>
        <w:t>在2024年1月至响应文件提交截止时间任意月份的税务局税收通用缴款书复印件或银行电子缴税（费）凭证或相关证明或相关情况说明（注：成立未满1个月或刚满1个月的</w:t>
      </w:r>
      <w:r>
        <w:rPr>
          <w:rFonts w:hint="eastAsia" w:ascii="仿宋" w:hAnsi="仿宋" w:eastAsia="仿宋" w:cs="仿宋"/>
          <w:color w:val="000000" w:themeColor="text1"/>
          <w:sz w:val="24"/>
          <w:szCs w:val="22"/>
          <w:highlight w:val="none"/>
          <w:lang w:eastAsia="zh-CN"/>
          <w14:textFill>
            <w14:solidFill>
              <w14:schemeClr w14:val="tx1"/>
            </w14:solidFill>
          </w14:textFill>
        </w:rPr>
        <w:t>投标人</w:t>
      </w:r>
      <w:r>
        <w:rPr>
          <w:rFonts w:hint="eastAsia" w:ascii="仿宋" w:hAnsi="仿宋" w:eastAsia="仿宋" w:cs="仿宋"/>
          <w:color w:val="000000" w:themeColor="text1"/>
          <w:sz w:val="24"/>
          <w:szCs w:val="22"/>
          <w:highlight w:val="none"/>
          <w14:textFill>
            <w14:solidFill>
              <w14:schemeClr w14:val="tx1"/>
            </w14:solidFill>
          </w14:textFill>
        </w:rPr>
        <w:t>提供自成立以来的相关纳税证明或情况说明；依法免税的，应提供依法免税的相关证明文件）；</w:t>
      </w:r>
    </w:p>
    <w:p w14:paraId="0285DB50">
      <w:pPr>
        <w:shd w:val="clear" w:fill="FFFFFF" w:themeFill="background1"/>
        <w:spacing w:line="360" w:lineRule="auto"/>
        <w:ind w:firstLine="480" w:firstLineChars="200"/>
        <w:contextualSpacing/>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②提供费款所属时</w:t>
      </w:r>
      <w:r>
        <w:rPr>
          <w:rFonts w:hint="eastAsia" w:ascii="仿宋" w:hAnsi="仿宋" w:eastAsia="仿宋" w:cs="仿宋"/>
          <w:color w:val="000000" w:themeColor="text1"/>
          <w:sz w:val="24"/>
          <w:szCs w:val="22"/>
          <w:highlight w:val="none"/>
          <w:lang w:eastAsia="zh-CN"/>
          <w14:textFill>
            <w14:solidFill>
              <w14:schemeClr w14:val="tx1"/>
            </w14:solidFill>
          </w14:textFill>
        </w:rPr>
        <w:t>期内</w:t>
      </w:r>
      <w:r>
        <w:rPr>
          <w:rFonts w:hint="eastAsia" w:ascii="仿宋" w:hAnsi="仿宋" w:eastAsia="仿宋" w:cs="仿宋"/>
          <w:color w:val="000000" w:themeColor="text1"/>
          <w:sz w:val="24"/>
          <w:szCs w:val="22"/>
          <w:highlight w:val="none"/>
          <w14:textFill>
            <w14:solidFill>
              <w14:schemeClr w14:val="tx1"/>
            </w14:solidFill>
          </w14:textFill>
        </w:rPr>
        <w:t>在2024年1月至响应文件提交截止时间任意月份的社会保险费缴款书复印件或银行电子缴税（费）凭证或社保管理部门出具的有效的缴款证明（成立未满1个月或刚满1个月</w:t>
      </w:r>
      <w:r>
        <w:rPr>
          <w:rFonts w:hint="eastAsia" w:ascii="仿宋" w:hAnsi="仿宋" w:eastAsia="仿宋" w:cs="仿宋"/>
          <w:color w:val="000000" w:themeColor="text1"/>
          <w:sz w:val="24"/>
          <w:szCs w:val="22"/>
          <w:highlight w:val="none"/>
          <w:lang w:eastAsia="zh-CN"/>
          <w14:textFill>
            <w14:solidFill>
              <w14:schemeClr w14:val="tx1"/>
            </w14:solidFill>
          </w14:textFill>
        </w:rPr>
        <w:t>的投标人，</w:t>
      </w:r>
      <w:r>
        <w:rPr>
          <w:rFonts w:hint="eastAsia" w:ascii="仿宋" w:hAnsi="仿宋" w:eastAsia="仿宋" w:cs="仿宋"/>
          <w:color w:val="000000" w:themeColor="text1"/>
          <w:sz w:val="24"/>
          <w:szCs w:val="22"/>
          <w:highlight w:val="none"/>
          <w14:textFill>
            <w14:solidFill>
              <w14:schemeClr w14:val="tx1"/>
            </w14:solidFill>
          </w14:textFill>
        </w:rPr>
        <w:t>提供成立以来社会保障资金缴纳凭证</w:t>
      </w:r>
      <w:r>
        <w:rPr>
          <w:rFonts w:hint="eastAsia" w:ascii="仿宋" w:hAnsi="仿宋" w:eastAsia="仿宋" w:cs="仿宋"/>
          <w:color w:val="000000" w:themeColor="text1"/>
          <w:sz w:val="24"/>
          <w:szCs w:val="22"/>
          <w:highlight w:val="none"/>
          <w:lang w:eastAsia="zh-CN"/>
          <w14:textFill>
            <w14:solidFill>
              <w14:schemeClr w14:val="tx1"/>
            </w14:solidFill>
          </w14:textFill>
        </w:rPr>
        <w:t>或</w:t>
      </w:r>
      <w:r>
        <w:rPr>
          <w:rFonts w:hint="eastAsia" w:ascii="仿宋" w:hAnsi="仿宋" w:eastAsia="仿宋" w:cs="仿宋"/>
          <w:color w:val="000000" w:themeColor="text1"/>
          <w:sz w:val="24"/>
          <w:szCs w:val="22"/>
          <w:highlight w:val="none"/>
          <w14:textFill>
            <w14:solidFill>
              <w14:schemeClr w14:val="tx1"/>
            </w14:solidFill>
          </w14:textFill>
        </w:rPr>
        <w:t>相关证明或相关情况说明；依法不需要缴纳社会保障资金的</w:t>
      </w:r>
      <w:r>
        <w:rPr>
          <w:rFonts w:hint="eastAsia" w:ascii="仿宋" w:hAnsi="仿宋" w:eastAsia="仿宋" w:cs="仿宋"/>
          <w:color w:val="000000" w:themeColor="text1"/>
          <w:sz w:val="24"/>
          <w:szCs w:val="22"/>
          <w:highlight w:val="none"/>
          <w:lang w:eastAsia="zh-CN"/>
          <w14:textFill>
            <w14:solidFill>
              <w14:schemeClr w14:val="tx1"/>
            </w14:solidFill>
          </w14:textFill>
        </w:rPr>
        <w:t>投标人</w:t>
      </w:r>
      <w:r>
        <w:rPr>
          <w:rFonts w:hint="eastAsia" w:ascii="仿宋" w:hAnsi="仿宋" w:eastAsia="仿宋" w:cs="仿宋"/>
          <w:color w:val="000000" w:themeColor="text1"/>
          <w:sz w:val="24"/>
          <w:szCs w:val="22"/>
          <w:highlight w:val="none"/>
          <w14:textFill>
            <w14:solidFill>
              <w14:schemeClr w14:val="tx1"/>
            </w14:solidFill>
          </w14:textFill>
        </w:rPr>
        <w:t>，应提供相应文件证明其不需要缴纳社会保障资金）。</w:t>
      </w:r>
    </w:p>
    <w:p w14:paraId="18A9EC64">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w:t>
      </w:r>
      <w:r>
        <w:rPr>
          <w:rFonts w:hint="eastAsia" w:ascii="仿宋" w:hAnsi="仿宋" w:eastAsia="仿宋" w:cs="仿宋"/>
          <w:color w:val="auto"/>
          <w:sz w:val="24"/>
          <w:szCs w:val="22"/>
          <w:highlight w:val="none"/>
          <w:lang w:eastAsia="zh-CN"/>
        </w:rPr>
        <w:t>参加政府采购活动前三年内，在经营活动中没有重大违法记录</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提供书面声明</w:t>
      </w:r>
      <w:r>
        <w:rPr>
          <w:rFonts w:hint="eastAsia" w:ascii="仿宋" w:hAnsi="仿宋" w:eastAsia="仿宋" w:cs="仿宋"/>
          <w:color w:val="auto"/>
          <w:sz w:val="24"/>
          <w:szCs w:val="22"/>
          <w:highlight w:val="none"/>
        </w:rPr>
        <w:t>）</w:t>
      </w:r>
    </w:p>
    <w:p w14:paraId="0721500E">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1.6法律、行政法规规定的其他条件；</w:t>
      </w:r>
    </w:p>
    <w:p w14:paraId="6718931C">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①投标人未被列入“信用中国”网站（www.creditchina.gov.cn）失信被执行人、重大税收违法失信主体、政府采购严重违法失信行为记录名单，</w:t>
      </w:r>
      <w:r>
        <w:rPr>
          <w:rFonts w:hint="eastAsia" w:ascii="仿宋" w:hAnsi="仿宋" w:eastAsia="仿宋" w:cs="仿宋"/>
          <w:color w:val="auto"/>
          <w:sz w:val="24"/>
          <w:szCs w:val="22"/>
          <w:highlight w:val="none"/>
          <w:lang w:val="en-US" w:eastAsia="zh-CN"/>
        </w:rPr>
        <w:t>及未被列入</w:t>
      </w:r>
      <w:r>
        <w:rPr>
          <w:rFonts w:hint="eastAsia" w:ascii="仿宋" w:hAnsi="仿宋" w:eastAsia="仿宋" w:cs="仿宋"/>
          <w:color w:val="auto"/>
          <w:sz w:val="24"/>
          <w:szCs w:val="22"/>
          <w:highlight w:val="none"/>
          <w:lang w:eastAsia="zh-CN"/>
        </w:rPr>
        <w:t>“中国政府采购网”网站（www.ccgp.gov.cn）政府采购严重违法失信行为记录名单（由招标人或</w:t>
      </w:r>
      <w:r>
        <w:rPr>
          <w:rFonts w:hint="eastAsia" w:ascii="仿宋" w:hAnsi="仿宋" w:eastAsia="仿宋" w:cs="仿宋"/>
          <w:color w:val="auto"/>
          <w:sz w:val="24"/>
          <w:szCs w:val="22"/>
          <w:highlight w:val="none"/>
          <w:lang w:val="en-US" w:eastAsia="zh-CN"/>
        </w:rPr>
        <w:t>采购代理机构在开标当天</w:t>
      </w:r>
      <w:r>
        <w:rPr>
          <w:rFonts w:hint="eastAsia" w:ascii="仿宋" w:hAnsi="仿宋" w:eastAsia="仿宋" w:cs="仿宋"/>
          <w:color w:val="auto"/>
          <w:sz w:val="24"/>
          <w:szCs w:val="22"/>
          <w:highlight w:val="none"/>
          <w:lang w:eastAsia="zh-CN"/>
        </w:rPr>
        <w:t>进行查询，</w:t>
      </w:r>
      <w:r>
        <w:rPr>
          <w:rFonts w:hint="eastAsia" w:ascii="仿宋" w:hAnsi="仿宋" w:eastAsia="仿宋" w:cs="仿宋"/>
          <w:color w:val="auto"/>
          <w:sz w:val="24"/>
          <w:szCs w:val="22"/>
          <w:highlight w:val="none"/>
          <w:lang w:val="en-US" w:eastAsia="zh-CN"/>
        </w:rPr>
        <w:t>投标人无需查询</w:t>
      </w:r>
      <w:r>
        <w:rPr>
          <w:rFonts w:hint="eastAsia" w:ascii="仿宋" w:hAnsi="仿宋" w:eastAsia="仿宋" w:cs="仿宋"/>
          <w:color w:val="auto"/>
          <w:sz w:val="24"/>
          <w:szCs w:val="22"/>
          <w:highlight w:val="none"/>
          <w:lang w:eastAsia="zh-CN"/>
        </w:rPr>
        <w:t>）；②</w:t>
      </w:r>
      <w:r>
        <w:rPr>
          <w:rFonts w:hint="eastAsia" w:ascii="仿宋" w:hAnsi="仿宋" w:eastAsia="仿宋" w:cs="仿宋"/>
          <w:color w:val="auto"/>
          <w:sz w:val="24"/>
          <w:szCs w:val="22"/>
          <w:highlight w:val="none"/>
          <w:lang w:val="en-US" w:eastAsia="zh-CN"/>
        </w:rPr>
        <w:t>投标人</w:t>
      </w:r>
      <w:r>
        <w:rPr>
          <w:rFonts w:hint="eastAsia" w:ascii="仿宋" w:hAnsi="仿宋" w:eastAsia="仿宋" w:cs="仿宋"/>
          <w:color w:val="auto"/>
          <w:sz w:val="24"/>
          <w:szCs w:val="22"/>
          <w:highlight w:val="none"/>
        </w:rPr>
        <w:t>单位负责人为同一人或者存在直接控股、管理关系的不同</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，不得参加同一合同项下的政府采购活动</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提供声明</w:t>
      </w:r>
      <w:r>
        <w:rPr>
          <w:rFonts w:hint="eastAsia" w:ascii="仿宋" w:hAnsi="仿宋" w:eastAsia="仿宋" w:cs="仿宋"/>
          <w:color w:val="auto"/>
          <w:sz w:val="24"/>
          <w:szCs w:val="22"/>
          <w:highlight w:val="none"/>
          <w:lang w:eastAsia="zh-CN"/>
        </w:rPr>
        <w:t>）；</w:t>
      </w:r>
    </w:p>
    <w:p w14:paraId="761A95D7">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w:t>
      </w:r>
      <w:r>
        <w:rPr>
          <w:rFonts w:hint="eastAsia" w:ascii="仿宋" w:hAnsi="仿宋" w:eastAsia="仿宋" w:cs="仿宋"/>
          <w:color w:val="auto"/>
          <w:sz w:val="24"/>
          <w:szCs w:val="22"/>
          <w:highlight w:val="none"/>
          <w:lang w:val="en-US" w:eastAsia="zh-CN"/>
        </w:rPr>
        <w:t>.</w:t>
      </w:r>
      <w:r>
        <w:rPr>
          <w:rFonts w:hint="eastAsia" w:ascii="仿宋" w:hAnsi="仿宋" w:eastAsia="仿宋" w:cs="仿宋"/>
          <w:color w:val="auto"/>
          <w:sz w:val="24"/>
          <w:szCs w:val="22"/>
          <w:highlight w:val="none"/>
        </w:rPr>
        <w:t>落实政府采购政策需满足的资格要求</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无（</w:t>
      </w:r>
      <w:r>
        <w:rPr>
          <w:rFonts w:hint="eastAsia" w:ascii="仿宋" w:hAnsi="仿宋" w:eastAsia="仿宋" w:cs="仿宋"/>
          <w:color w:val="auto"/>
          <w:sz w:val="24"/>
          <w:szCs w:val="22"/>
          <w:highlight w:val="none"/>
          <w:lang w:eastAsia="zh-CN"/>
        </w:rPr>
        <w:t>未预留，不属于专门面向中小企业、监狱企业、残疾人福利企业采购项目</w:t>
      </w:r>
      <w:r>
        <w:rPr>
          <w:rFonts w:hint="eastAsia" w:ascii="仿宋" w:hAnsi="仿宋" w:eastAsia="仿宋" w:cs="仿宋"/>
          <w:color w:val="auto"/>
          <w:sz w:val="24"/>
          <w:szCs w:val="22"/>
          <w:highlight w:val="none"/>
        </w:rPr>
        <w:t>）。</w:t>
      </w:r>
    </w:p>
    <w:p w14:paraId="193622BD">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3</w:t>
      </w:r>
      <w:r>
        <w:rPr>
          <w:rFonts w:hint="eastAsia" w:ascii="仿宋" w:hAnsi="仿宋" w:eastAsia="仿宋" w:cs="仿宋"/>
          <w:color w:val="auto"/>
          <w:sz w:val="24"/>
          <w:szCs w:val="22"/>
          <w:highlight w:val="none"/>
          <w:lang w:val="en-US" w:eastAsia="zh-CN"/>
        </w:rPr>
        <w:t>.</w:t>
      </w:r>
      <w:r>
        <w:rPr>
          <w:rFonts w:hint="eastAsia" w:ascii="仿宋" w:hAnsi="仿宋" w:eastAsia="仿宋" w:cs="仿宋"/>
          <w:color w:val="auto"/>
          <w:sz w:val="24"/>
          <w:szCs w:val="22"/>
          <w:highlight w:val="none"/>
        </w:rPr>
        <w:t>本项目的特定资格要求：①投标人若为代理商或经销商：须提供投标人有效的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经营许可证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经营范围覆盖投标产品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及所投货物制造商有效的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生产许可证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生产范围覆盖投标产品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；②投标人若为制造商：须提供投标人有效的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经营许可证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经营范围覆盖投标产品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及所投货物制造商有效的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生产许可证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生产范围覆盖投标产品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p>
    <w:p w14:paraId="2C30243F">
      <w:pPr>
        <w:pStyle w:val="3"/>
        <w:shd w:val="clear"/>
        <w:spacing w:line="360" w:lineRule="auto"/>
        <w:ind w:firstLine="187" w:firstLineChars="62"/>
        <w:outlineLvl w:val="1"/>
        <w:rPr>
          <w:rFonts w:hint="eastAsia" w:ascii="仿宋" w:hAnsi="仿宋" w:eastAsia="仿宋" w:cs="仿宋"/>
          <w:color w:val="auto"/>
          <w:highlight w:val="none"/>
        </w:rPr>
      </w:pPr>
      <w:bookmarkStart w:id="20" w:name="_Toc31029"/>
      <w:bookmarkStart w:id="21" w:name="_Toc29180"/>
      <w:bookmarkStart w:id="22" w:name="_Toc32563"/>
      <w:bookmarkStart w:id="23" w:name="_Toc26584"/>
      <w:bookmarkStart w:id="24" w:name="_Toc7408"/>
      <w:r>
        <w:rPr>
          <w:rFonts w:hint="eastAsia" w:ascii="仿宋" w:hAnsi="仿宋" w:eastAsia="仿宋" w:cs="仿宋"/>
          <w:color w:val="auto"/>
          <w:sz w:val="30"/>
          <w:szCs w:val="30"/>
          <w:highlight w:val="none"/>
        </w:rPr>
        <w:t>三、获取招标文件</w:t>
      </w:r>
      <w:bookmarkEnd w:id="20"/>
      <w:bookmarkEnd w:id="21"/>
      <w:bookmarkEnd w:id="22"/>
      <w:bookmarkEnd w:id="23"/>
      <w:bookmarkEnd w:id="24"/>
    </w:p>
    <w:p w14:paraId="2CE8B8AB">
      <w:pPr>
        <w:shd w:val="clear"/>
        <w:spacing w:line="360" w:lineRule="auto"/>
        <w:ind w:firstLine="480" w:firstLineChars="200"/>
        <w:contextualSpacing/>
        <w:rPr>
          <w:rFonts w:hint="eastAsia" w:ascii="仿宋" w:hAnsi="仿宋" w:eastAsia="仿宋" w:cs="仿宋"/>
          <w:color w:val="0000FF"/>
          <w:sz w:val="24"/>
          <w:szCs w:val="22"/>
          <w:highlight w:val="none"/>
        </w:rPr>
      </w:pPr>
      <w:r>
        <w:rPr>
          <w:rFonts w:hint="eastAsia" w:ascii="仿宋" w:hAnsi="仿宋" w:eastAsia="仿宋" w:cs="仿宋"/>
          <w:color w:val="auto"/>
          <w:sz w:val="24"/>
          <w:szCs w:val="22"/>
          <w:highlight w:val="none"/>
        </w:rPr>
        <w:t>时间：202</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03-22</w:t>
      </w:r>
      <w:r>
        <w:rPr>
          <w:rFonts w:hint="eastAsia" w:ascii="仿宋" w:hAnsi="仿宋" w:eastAsia="仿宋" w:cs="仿宋"/>
          <w:color w:val="auto"/>
          <w:sz w:val="24"/>
          <w:szCs w:val="22"/>
          <w:highlight w:val="none"/>
        </w:rPr>
        <w:t>至202</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03-28</w:t>
      </w:r>
      <w:r>
        <w:rPr>
          <w:rFonts w:hint="eastAsia" w:ascii="仿宋" w:hAnsi="仿宋" w:eastAsia="仿宋" w:cs="仿宋"/>
          <w:color w:val="auto"/>
          <w:sz w:val="24"/>
          <w:szCs w:val="22"/>
          <w:highlight w:val="none"/>
        </w:rPr>
        <w:t>，每天上午0</w:t>
      </w:r>
      <w:r>
        <w:rPr>
          <w:rFonts w:hint="eastAsia" w:ascii="仿宋" w:hAnsi="仿宋" w:eastAsia="仿宋" w:cs="仿宋"/>
          <w:color w:val="auto"/>
          <w:sz w:val="24"/>
          <w:szCs w:val="22"/>
          <w:highlight w:val="none"/>
          <w:lang w:val="en-US" w:eastAsia="zh-CN"/>
        </w:rPr>
        <w:t>6:00</w:t>
      </w:r>
      <w:r>
        <w:rPr>
          <w:rFonts w:hint="eastAsia" w:ascii="仿宋" w:hAnsi="仿宋" w:eastAsia="仿宋" w:cs="仿宋"/>
          <w:color w:val="auto"/>
          <w:sz w:val="24"/>
          <w:szCs w:val="22"/>
          <w:highlight w:val="none"/>
        </w:rPr>
        <w:t>至12</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00，下午12</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0</w:t>
      </w:r>
      <w:r>
        <w:rPr>
          <w:rFonts w:hint="eastAsia" w:ascii="仿宋" w:hAnsi="仿宋" w:eastAsia="仿宋" w:cs="仿宋"/>
          <w:color w:val="auto"/>
          <w:sz w:val="24"/>
          <w:szCs w:val="22"/>
          <w:highlight w:val="none"/>
          <w:lang w:val="en-US" w:eastAsia="zh-CN"/>
        </w:rPr>
        <w:t>0</w:t>
      </w:r>
      <w:r>
        <w:rPr>
          <w:rFonts w:hint="eastAsia" w:ascii="仿宋" w:hAnsi="仿宋" w:eastAsia="仿宋" w:cs="仿宋"/>
          <w:color w:val="auto"/>
          <w:sz w:val="24"/>
          <w:szCs w:val="22"/>
          <w:highlight w:val="none"/>
        </w:rPr>
        <w:t>至23</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59（北京时间）</w:t>
      </w:r>
    </w:p>
    <w:p w14:paraId="3F075F6F">
      <w:pPr>
        <w:shd w:val="clea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地点：政采云平台（https:www.zcygov.cn）。</w:t>
      </w:r>
    </w:p>
    <w:p w14:paraId="58B27243">
      <w:pPr>
        <w:shd w:val="clea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方式：凡有意参加投标者，须在政采云平台办理数字证书（CA），并在政采云绑定数字证书（CA）后线上获取采购文件及其他采购资料。CA申领链接：http://yzt.ynsmartcert.cn/cms/yztynlblj.html，CA申领后需登陆政采云平台完成数字证书（CA）绑定才可以使用，数字证书（CA）详见其办理流程。按上述要求获取文件的投标人视为合法获取了本项目采购文件，具备本项目的投标资格。</w:t>
      </w:r>
    </w:p>
    <w:p w14:paraId="5ADBEF5F">
      <w:pPr>
        <w:shd w:val="clear"/>
        <w:spacing w:line="360" w:lineRule="auto"/>
        <w:ind w:firstLine="480" w:firstLineChars="200"/>
        <w:contextualSpacing/>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售价：</w:t>
      </w:r>
      <w:r>
        <w:rPr>
          <w:rFonts w:hint="eastAsia" w:ascii="仿宋" w:hAnsi="仿宋" w:eastAsia="仿宋" w:cs="仿宋"/>
          <w:color w:val="auto"/>
          <w:sz w:val="24"/>
          <w:highlight w:val="none"/>
          <w:lang w:val="en-US" w:eastAsia="zh-CN"/>
        </w:rPr>
        <w:t>0元</w:t>
      </w:r>
    </w:p>
    <w:p w14:paraId="33B1E341">
      <w:pPr>
        <w:pStyle w:val="3"/>
        <w:shd w:val="clear"/>
        <w:spacing w:line="360" w:lineRule="auto"/>
        <w:ind w:firstLine="187" w:firstLineChars="62"/>
        <w:outlineLvl w:val="1"/>
        <w:rPr>
          <w:rFonts w:hint="eastAsia" w:ascii="仿宋" w:hAnsi="仿宋" w:eastAsia="仿宋" w:cs="仿宋"/>
          <w:color w:val="auto"/>
          <w:sz w:val="30"/>
          <w:szCs w:val="30"/>
          <w:highlight w:val="none"/>
        </w:rPr>
      </w:pPr>
      <w:bookmarkStart w:id="25" w:name="_Toc9470"/>
      <w:bookmarkStart w:id="26" w:name="_Toc7802"/>
      <w:bookmarkStart w:id="27" w:name="_Toc6222"/>
      <w:bookmarkStart w:id="28" w:name="_Toc28723"/>
      <w:bookmarkStart w:id="29" w:name="_Toc17011"/>
      <w:r>
        <w:rPr>
          <w:rFonts w:hint="eastAsia" w:ascii="仿宋" w:hAnsi="仿宋" w:eastAsia="仿宋" w:cs="仿宋"/>
          <w:color w:val="auto"/>
          <w:sz w:val="30"/>
          <w:szCs w:val="30"/>
          <w:highlight w:val="none"/>
        </w:rPr>
        <w:t>四、提交投标文件截止时间、开标时间和地点</w:t>
      </w:r>
      <w:bookmarkEnd w:id="25"/>
      <w:bookmarkEnd w:id="26"/>
      <w:bookmarkEnd w:id="27"/>
      <w:bookmarkEnd w:id="28"/>
      <w:bookmarkEnd w:id="29"/>
    </w:p>
    <w:p w14:paraId="34CCB95C">
      <w:pPr>
        <w:shd w:val="clear"/>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时间：</w:t>
      </w:r>
      <w:r>
        <w:rPr>
          <w:rFonts w:hint="eastAsia" w:ascii="仿宋" w:hAnsi="仿宋" w:eastAsia="仿宋" w:cs="仿宋"/>
          <w:color w:val="auto"/>
          <w:sz w:val="24"/>
          <w:szCs w:val="22"/>
          <w:highlight w:val="none"/>
        </w:rPr>
        <w:t>202</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04-15  09:30</w:t>
      </w:r>
      <w:r>
        <w:rPr>
          <w:rFonts w:hint="eastAsia" w:ascii="仿宋" w:hAnsi="仿宋" w:eastAsia="仿宋" w:cs="仿宋"/>
          <w:color w:val="auto"/>
          <w:sz w:val="24"/>
          <w:szCs w:val="22"/>
          <w:highlight w:val="none"/>
        </w:rPr>
        <w:t>（北京时间）</w:t>
      </w:r>
    </w:p>
    <w:p w14:paraId="5F604D12">
      <w:pPr>
        <w:shd w:val="clear"/>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地点：</w:t>
      </w:r>
      <w:r>
        <w:rPr>
          <w:rFonts w:hint="eastAsia" w:ascii="仿宋" w:hAnsi="仿宋" w:eastAsia="仿宋" w:cs="仿宋"/>
          <w:color w:val="auto"/>
          <w:sz w:val="24"/>
          <w:szCs w:val="22"/>
          <w:highlight w:val="none"/>
          <w:lang w:eastAsia="zh-CN"/>
        </w:rPr>
        <w:t>政采云平台（http：www.zcygov.cn），</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应按照本项目采购文件和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平台的要求编制、加密后在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提交截止时间前上传至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提交截止时间前未完成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上传的，视为撤回</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平台提交电子版</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时，请填写参加远程采购活动经办人联系方式。</w:t>
      </w:r>
    </w:p>
    <w:p w14:paraId="0CA2047C">
      <w:pPr>
        <w:pStyle w:val="3"/>
        <w:shd w:val="clear"/>
        <w:spacing w:line="360" w:lineRule="auto"/>
        <w:ind w:firstLine="187" w:firstLineChars="62"/>
        <w:outlineLvl w:val="1"/>
        <w:rPr>
          <w:rFonts w:hint="eastAsia" w:ascii="仿宋" w:hAnsi="仿宋" w:eastAsia="仿宋" w:cs="仿宋"/>
          <w:color w:val="auto"/>
          <w:sz w:val="30"/>
          <w:szCs w:val="30"/>
          <w:highlight w:val="none"/>
        </w:rPr>
      </w:pPr>
      <w:bookmarkStart w:id="30" w:name="_Toc26858"/>
      <w:bookmarkStart w:id="31" w:name="_Toc14443"/>
      <w:bookmarkStart w:id="32" w:name="_Toc8786"/>
      <w:bookmarkStart w:id="33" w:name="_Toc743"/>
      <w:bookmarkStart w:id="34" w:name="_Toc17353"/>
      <w:r>
        <w:rPr>
          <w:rFonts w:hint="eastAsia" w:ascii="仿宋" w:hAnsi="仿宋" w:eastAsia="仿宋" w:cs="仿宋"/>
          <w:color w:val="auto"/>
          <w:sz w:val="30"/>
          <w:szCs w:val="30"/>
          <w:highlight w:val="none"/>
        </w:rPr>
        <w:t>五、公告期限</w:t>
      </w:r>
      <w:bookmarkEnd w:id="30"/>
      <w:bookmarkEnd w:id="31"/>
      <w:bookmarkEnd w:id="32"/>
      <w:bookmarkEnd w:id="33"/>
      <w:bookmarkEnd w:id="34"/>
    </w:p>
    <w:p w14:paraId="507439C5">
      <w:pPr>
        <w:shd w:val="clea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19245C9">
      <w:pPr>
        <w:pStyle w:val="3"/>
        <w:shd w:val="clear"/>
        <w:spacing w:line="360" w:lineRule="auto"/>
        <w:ind w:firstLine="187" w:firstLineChars="62"/>
        <w:outlineLvl w:val="1"/>
        <w:rPr>
          <w:rFonts w:hint="eastAsia" w:ascii="仿宋" w:hAnsi="仿宋" w:eastAsia="仿宋" w:cs="仿宋"/>
          <w:color w:val="auto"/>
          <w:sz w:val="30"/>
          <w:szCs w:val="30"/>
          <w:highlight w:val="none"/>
        </w:rPr>
      </w:pPr>
      <w:bookmarkStart w:id="35" w:name="_Toc11949"/>
      <w:bookmarkStart w:id="36" w:name="_Toc31633"/>
      <w:bookmarkStart w:id="37" w:name="_Toc15932"/>
      <w:bookmarkStart w:id="38" w:name="_Toc1202"/>
      <w:bookmarkStart w:id="39" w:name="_Toc30287"/>
      <w:r>
        <w:rPr>
          <w:rFonts w:hint="eastAsia" w:ascii="仿宋" w:hAnsi="仿宋" w:eastAsia="仿宋" w:cs="仿宋"/>
          <w:color w:val="auto"/>
          <w:sz w:val="30"/>
          <w:szCs w:val="30"/>
          <w:highlight w:val="none"/>
        </w:rPr>
        <w:t>六、其他补充事宜</w:t>
      </w:r>
      <w:bookmarkEnd w:id="35"/>
      <w:bookmarkEnd w:id="36"/>
      <w:bookmarkEnd w:id="37"/>
      <w:bookmarkEnd w:id="38"/>
      <w:bookmarkEnd w:id="39"/>
    </w:p>
    <w:p w14:paraId="058C1C31">
      <w:pPr>
        <w:shd w:val="clear"/>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开标方式：</w:t>
      </w:r>
      <w:r>
        <w:rPr>
          <w:rFonts w:hint="eastAsia" w:ascii="仿宋" w:hAnsi="仿宋" w:eastAsia="仿宋" w:cs="仿宋"/>
          <w:color w:val="auto"/>
          <w:sz w:val="24"/>
          <w:szCs w:val="22"/>
          <w:highlight w:val="none"/>
          <w:lang w:val="en-US" w:eastAsia="zh-CN"/>
        </w:rPr>
        <w:t>网上</w:t>
      </w:r>
      <w:r>
        <w:rPr>
          <w:rFonts w:hint="eastAsia" w:ascii="仿宋" w:hAnsi="仿宋" w:eastAsia="仿宋" w:cs="仿宋"/>
          <w:color w:val="auto"/>
          <w:sz w:val="24"/>
          <w:szCs w:val="22"/>
          <w:highlight w:val="none"/>
        </w:rPr>
        <w:t>开标</w:t>
      </w:r>
    </w:p>
    <w:p w14:paraId="338803EB">
      <w:pPr>
        <w:shd w:val="clea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是否需要</w:t>
      </w:r>
      <w:r>
        <w:rPr>
          <w:rFonts w:hint="eastAsia" w:ascii="仿宋" w:hAnsi="仿宋" w:eastAsia="仿宋" w:cs="仿宋"/>
          <w:color w:val="auto"/>
          <w:sz w:val="24"/>
          <w:szCs w:val="24"/>
          <w:highlight w:val="none"/>
          <w:lang w:eastAsia="zh-CN"/>
        </w:rPr>
        <w:t>提交</w:t>
      </w:r>
      <w:r>
        <w:rPr>
          <w:rFonts w:hint="eastAsia" w:ascii="仿宋" w:hAnsi="仿宋" w:eastAsia="仿宋" w:cs="仿宋"/>
          <w:color w:val="auto"/>
          <w:sz w:val="24"/>
          <w:szCs w:val="24"/>
          <w:highlight w:val="none"/>
        </w:rPr>
        <w:t>投标保证金：是</w:t>
      </w:r>
    </w:p>
    <w:p w14:paraId="394ED2B0">
      <w:pPr>
        <w:keepNext w:val="0"/>
        <w:keepLines w:val="0"/>
        <w:pageBreakBefore w:val="0"/>
        <w:widowControl w:val="0"/>
        <w:shd w:val="clear"/>
        <w:kinsoku/>
        <w:wordWrap/>
        <w:overflowPunct/>
        <w:topLinePunct w:val="0"/>
        <w:autoSpaceDE/>
        <w:autoSpaceDN/>
        <w:bidi w:val="0"/>
        <w:snapToGrid/>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LJZC2025-G1-00112-YNLB-0058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永胜县中医医院中药饮片采购项目：</w:t>
      </w:r>
    </w:p>
    <w:p w14:paraId="606B5B81">
      <w:pPr>
        <w:keepNext w:val="0"/>
        <w:keepLines w:val="0"/>
        <w:pageBreakBefore w:val="0"/>
        <w:widowControl w:val="0"/>
        <w:shd w:val="clear"/>
        <w:kinsoku/>
        <w:wordWrap/>
        <w:overflowPunct/>
        <w:topLinePunct w:val="0"/>
        <w:autoSpaceDE/>
        <w:autoSpaceDN/>
        <w:bidi w:val="0"/>
        <w:snapToGrid/>
        <w:spacing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保证金金额：</w:t>
      </w:r>
      <w:r>
        <w:rPr>
          <w:rFonts w:hint="eastAsia" w:ascii="仿宋" w:hAnsi="仿宋" w:eastAsia="仿宋" w:cs="仿宋"/>
          <w:color w:val="auto"/>
          <w:sz w:val="24"/>
          <w:szCs w:val="22"/>
          <w:highlight w:val="none"/>
          <w:lang w:val="en-US" w:eastAsia="zh-CN"/>
        </w:rPr>
        <w:t>60000.00元</w:t>
      </w:r>
    </w:p>
    <w:p w14:paraId="17DCC10C">
      <w:pPr>
        <w:keepNext w:val="0"/>
        <w:keepLines w:val="0"/>
        <w:pageBreakBefore w:val="0"/>
        <w:widowControl w:val="0"/>
        <w:shd w:val="clear"/>
        <w:kinsoku/>
        <w:wordWrap/>
        <w:overflowPunct/>
        <w:topLinePunct w:val="0"/>
        <w:autoSpaceDE/>
        <w:autoSpaceDN/>
        <w:bidi w:val="0"/>
        <w:snapToGrid/>
        <w:spacing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保证金</w:t>
      </w:r>
      <w:r>
        <w:rPr>
          <w:rFonts w:hint="eastAsia" w:ascii="仿宋" w:hAnsi="仿宋" w:eastAsia="仿宋" w:cs="仿宋"/>
          <w:color w:val="auto"/>
          <w:sz w:val="24"/>
          <w:szCs w:val="22"/>
          <w:highlight w:val="none"/>
          <w:lang w:eastAsia="zh-CN"/>
        </w:rPr>
        <w:t>提交</w:t>
      </w:r>
      <w:r>
        <w:rPr>
          <w:rFonts w:hint="eastAsia" w:ascii="仿宋" w:hAnsi="仿宋" w:eastAsia="仿宋" w:cs="仿宋"/>
          <w:color w:val="auto"/>
          <w:sz w:val="24"/>
          <w:szCs w:val="22"/>
          <w:highlight w:val="none"/>
        </w:rPr>
        <w:t>方式：</w:t>
      </w:r>
      <w:r>
        <w:rPr>
          <w:rFonts w:hint="eastAsia" w:ascii="仿宋" w:hAnsi="仿宋" w:eastAsia="仿宋" w:cs="仿宋"/>
          <w:color w:val="auto"/>
          <w:sz w:val="24"/>
          <w:highlight w:val="none"/>
          <w:lang w:eastAsia="zh-CN"/>
        </w:rPr>
        <w:t>支票、汇票、本票或者金融机构、担保机构出具的保函等非现金形式。</w:t>
      </w:r>
    </w:p>
    <w:p w14:paraId="6AEA071E">
      <w:pPr>
        <w:keepNext w:val="0"/>
        <w:keepLines w:val="0"/>
        <w:pageBreakBefore w:val="0"/>
        <w:widowControl w:val="0"/>
        <w:shd w:val="clear"/>
        <w:kinsoku/>
        <w:wordWrap/>
        <w:overflowPunct/>
        <w:topLinePunct w:val="0"/>
        <w:autoSpaceDE/>
        <w:autoSpaceDN/>
        <w:bidi w:val="0"/>
        <w:snapToGrid/>
        <w:spacing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保证金</w:t>
      </w:r>
      <w:r>
        <w:rPr>
          <w:rFonts w:hint="eastAsia" w:ascii="仿宋" w:hAnsi="仿宋" w:eastAsia="仿宋" w:cs="仿宋"/>
          <w:color w:val="auto"/>
          <w:sz w:val="24"/>
          <w:szCs w:val="22"/>
          <w:highlight w:val="none"/>
          <w:lang w:eastAsia="zh-CN"/>
        </w:rPr>
        <w:t>提交</w:t>
      </w:r>
      <w:r>
        <w:rPr>
          <w:rFonts w:hint="eastAsia" w:ascii="仿宋" w:hAnsi="仿宋" w:eastAsia="仿宋" w:cs="仿宋"/>
          <w:color w:val="auto"/>
          <w:sz w:val="24"/>
          <w:szCs w:val="22"/>
          <w:highlight w:val="none"/>
        </w:rPr>
        <w:t>截止时间：202</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04-15  09:30</w:t>
      </w:r>
      <w:r>
        <w:rPr>
          <w:rFonts w:hint="eastAsia" w:ascii="仿宋" w:hAnsi="仿宋" w:eastAsia="仿宋" w:cs="仿宋"/>
          <w:color w:val="auto"/>
          <w:sz w:val="24"/>
          <w:szCs w:val="22"/>
          <w:highlight w:val="none"/>
        </w:rPr>
        <w:t>（北京时间）</w:t>
      </w:r>
    </w:p>
    <w:p w14:paraId="64FE337E">
      <w:pPr>
        <w:shd w:val="clear"/>
        <w:spacing w:line="360" w:lineRule="auto"/>
        <w:ind w:firstLine="480" w:firstLineChars="200"/>
        <w:contextualSpacing/>
        <w:rPr>
          <w:rFonts w:hint="eastAsia" w:ascii="仿宋" w:hAnsi="仿宋" w:eastAsia="仿宋" w:cs="仿宋"/>
          <w:color w:val="auto"/>
          <w:sz w:val="24"/>
          <w:szCs w:val="22"/>
          <w:highlight w:val="none"/>
          <w:lang w:val="en-US" w:eastAsia="zh-CN"/>
        </w:rPr>
      </w:pPr>
      <w:bookmarkStart w:id="40" w:name="_Toc28015"/>
      <w:bookmarkStart w:id="41" w:name="_Toc6000"/>
      <w:bookmarkStart w:id="42" w:name="_Toc9110"/>
      <w:r>
        <w:rPr>
          <w:rFonts w:hint="eastAsia" w:ascii="仿宋" w:hAnsi="仿宋" w:eastAsia="仿宋" w:cs="仿宋"/>
          <w:color w:val="auto"/>
          <w:sz w:val="24"/>
          <w:szCs w:val="22"/>
          <w:highlight w:val="none"/>
          <w:lang w:val="en-US" w:eastAsia="zh-CN"/>
        </w:rPr>
        <w:t>开标注意事项：</w:t>
      </w:r>
    </w:p>
    <w:p w14:paraId="5E0B4EA6">
      <w:pPr>
        <w:shd w:val="clear"/>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投标人登录政采云平台（https:www.zcygov.cn），按《投标人操作指南》（https://edu.zcygov.cn/luban/yunnan-dzjy-gys?utm=a0017.b3687.48.18.4b09ec80cbc911edb8a97356c5970511）完成远程投标文件解密等相关操作。本项目解密时间为30分钟，若投标人未在规定时间完成投标文件解密，则视为无效投标，不再进入评审阶段</w:t>
      </w:r>
    </w:p>
    <w:p w14:paraId="68D14390">
      <w:pPr>
        <w:shd w:val="clear"/>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（2）各投标人在开标前应确保成为政采云平台投标人，并完成CA数字证书申领。因未注册入库、未办理CA数字证书等原因造成无法投标或投标失败等后果由投标人自行承担。</w:t>
      </w:r>
    </w:p>
    <w:p w14:paraId="66BC23B8">
      <w:pPr>
        <w:shd w:val="clear"/>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投标人将政采云电子交易客户端下载、安装完成后，可通过账号密码或CA登录客户端进行响应文件的制作。在使用政采云投标客户端时，建议使用WIN7（64位）及以上操作系统。客户端请至政采云公司网站（https://edu.zcygov.cn/luban/yunnan-dzjy-gys）进行查看下载，如有问题可拨打政采云客户服务热线95763进行咨询。如因投标人自身原因导致在规定时间内无法正常解密的（如：浏览器故障、未安装相关驱动、网络故障、加密CA与解密CA不一致等），代理机构不予异常处理，视为投标人自动放弃投标。注：任何因忽视或误解而导致投标文件未上传或已上传但未按规定的操作流程及时间要求进行解密的，由投标人自行负责。</w:t>
      </w:r>
    </w:p>
    <w:p w14:paraId="060F6FA1">
      <w:pPr>
        <w:pStyle w:val="3"/>
        <w:shd w:val="clear"/>
        <w:spacing w:line="360" w:lineRule="auto"/>
        <w:ind w:firstLine="187" w:firstLineChars="62"/>
        <w:outlineLvl w:val="1"/>
        <w:rPr>
          <w:rFonts w:hint="eastAsia" w:ascii="仿宋" w:hAnsi="仿宋" w:eastAsia="仿宋" w:cs="仿宋"/>
          <w:color w:val="auto"/>
          <w:sz w:val="30"/>
          <w:szCs w:val="30"/>
          <w:highlight w:val="none"/>
        </w:rPr>
      </w:pPr>
      <w:bookmarkStart w:id="43" w:name="_Toc23599"/>
      <w:r>
        <w:rPr>
          <w:rFonts w:hint="eastAsia" w:ascii="仿宋" w:hAnsi="仿宋" w:eastAsia="仿宋" w:cs="仿宋"/>
          <w:color w:val="auto"/>
          <w:sz w:val="30"/>
          <w:szCs w:val="30"/>
          <w:highlight w:val="none"/>
        </w:rPr>
        <w:t>七、对本次招标提出询问，请按以下方式联系</w:t>
      </w:r>
      <w:bookmarkEnd w:id="12"/>
      <w:bookmarkEnd w:id="40"/>
      <w:bookmarkEnd w:id="41"/>
      <w:bookmarkEnd w:id="42"/>
      <w:bookmarkEnd w:id="43"/>
    </w:p>
    <w:p w14:paraId="5E42E8B1">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1.招标人信息</w:t>
      </w:r>
    </w:p>
    <w:p w14:paraId="52C5A62A">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名    称：永胜县中医医院</w:t>
      </w:r>
    </w:p>
    <w:p w14:paraId="100C97A3">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地    址：丽江市永胜县沧阳路</w:t>
      </w:r>
    </w:p>
    <w:p w14:paraId="2FE99FFF">
      <w:pPr>
        <w:shd w:val="clear"/>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联系方式：0888-6521907</w:t>
      </w:r>
    </w:p>
    <w:p w14:paraId="05C662E8">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2.采购代理机构信息</w:t>
      </w:r>
    </w:p>
    <w:p w14:paraId="1A0D5B3E">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名    称：云南蓝本招标咨询有限公司</w:t>
      </w:r>
    </w:p>
    <w:p w14:paraId="404331AF">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地    址：云南省昆明市西山区环城南路668号东南亚商场写字楼A座17楼2、3号</w:t>
      </w:r>
    </w:p>
    <w:p w14:paraId="2AD1724D">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联系方式：0888-8880196</w:t>
      </w:r>
    </w:p>
    <w:p w14:paraId="14D54350">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3.项目联系方式</w:t>
      </w:r>
    </w:p>
    <w:p w14:paraId="2996A4E2">
      <w:pPr>
        <w:shd w:val="clear"/>
        <w:spacing w:line="360" w:lineRule="auto"/>
        <w:ind w:firstLine="480" w:firstLineChars="200"/>
        <w:contextualSpacing/>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项目联系人：杨帆、</w:t>
      </w:r>
      <w:r>
        <w:rPr>
          <w:rFonts w:hint="eastAsia" w:ascii="仿宋" w:hAnsi="仿宋" w:eastAsia="仿宋" w:cs="仿宋"/>
          <w:color w:val="000000" w:themeColor="text1"/>
          <w:sz w:val="24"/>
          <w:szCs w:val="24"/>
          <w:highlight w:val="none"/>
          <w14:textFill>
            <w14:solidFill>
              <w14:schemeClr w14:val="tx1"/>
            </w14:solidFill>
          </w14:textFill>
        </w:rPr>
        <w:t>李宏英、王易文</w:t>
      </w:r>
    </w:p>
    <w:p w14:paraId="70E349B4">
      <w:pPr>
        <w:shd w:val="clear"/>
        <w:spacing w:line="360" w:lineRule="auto"/>
        <w:ind w:firstLine="480" w:firstLineChars="200"/>
        <w:contextualSpacing/>
        <w:rPr>
          <w:rFonts w:hint="eastAsia" w:ascii="仿宋" w:hAnsi="仿宋" w:eastAsia="仿宋" w:cs="仿宋"/>
          <w:color w:val="auto"/>
          <w:sz w:val="24"/>
          <w:szCs w:val="22"/>
          <w:highlight w:val="none"/>
          <w:lang w:val="en-US" w:eastAsia="zh-CN"/>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电      话：0888-8880196</w:t>
      </w:r>
    </w:p>
    <w:p w14:paraId="3A20A1CD">
      <w:pPr>
        <w:pStyle w:val="30"/>
        <w:keepNext w:val="0"/>
        <w:keepLines w:val="0"/>
        <w:widowControl/>
        <w:suppressLineNumbers w:val="0"/>
        <w:shd w:val="clea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14:paraId="5F0C5420">
      <w:pPr>
        <w:pStyle w:val="2"/>
        <w:shd w:val="clear"/>
        <w:outlineLvl w:val="0"/>
        <w:rPr>
          <w:rFonts w:hint="eastAsia" w:ascii="仿宋" w:hAnsi="仿宋" w:eastAsia="仿宋" w:cs="仿宋"/>
          <w:color w:val="auto"/>
          <w:highlight w:val="none"/>
        </w:rPr>
      </w:pPr>
      <w:bookmarkStart w:id="44" w:name="_Toc24807"/>
      <w:bookmarkStart w:id="45" w:name="_Toc3323"/>
      <w:bookmarkStart w:id="46" w:name="_Toc244341280"/>
      <w:bookmarkStart w:id="47" w:name="_Toc32756"/>
      <w:bookmarkStart w:id="48" w:name="_Toc28043"/>
      <w:bookmarkStart w:id="49" w:name="_Toc364392607"/>
      <w:bookmarkStart w:id="50" w:name="_Toc25871"/>
      <w:r>
        <w:rPr>
          <w:rFonts w:hint="eastAsia" w:ascii="仿宋" w:hAnsi="仿宋" w:eastAsia="仿宋" w:cs="仿宋"/>
          <w:color w:val="auto"/>
          <w:highlight w:val="none"/>
        </w:rPr>
        <w:t>第二章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pacing w:val="10"/>
          <w:highlight w:val="none"/>
        </w:rPr>
        <w:t>投标人</w:t>
      </w:r>
      <w:r>
        <w:rPr>
          <w:rFonts w:hint="eastAsia" w:ascii="仿宋" w:hAnsi="仿宋" w:eastAsia="仿宋" w:cs="仿宋"/>
          <w:color w:val="auto"/>
          <w:highlight w:val="none"/>
        </w:rPr>
        <w:t>须知</w:t>
      </w:r>
      <w:bookmarkEnd w:id="44"/>
      <w:bookmarkEnd w:id="45"/>
      <w:bookmarkEnd w:id="46"/>
      <w:bookmarkEnd w:id="47"/>
      <w:bookmarkEnd w:id="48"/>
      <w:bookmarkEnd w:id="49"/>
      <w:bookmarkEnd w:id="50"/>
    </w:p>
    <w:p w14:paraId="1D84E1AE">
      <w:pPr>
        <w:pStyle w:val="3"/>
        <w:shd w:val="clear"/>
        <w:ind w:firstLine="0" w:firstLineChars="0"/>
        <w:jc w:val="center"/>
        <w:outlineLvl w:val="1"/>
        <w:rPr>
          <w:rFonts w:hint="eastAsia" w:ascii="仿宋" w:hAnsi="仿宋" w:eastAsia="仿宋" w:cs="仿宋"/>
          <w:color w:val="auto"/>
          <w:highlight w:val="none"/>
        </w:rPr>
      </w:pPr>
      <w:bookmarkStart w:id="51" w:name="_Toc17519"/>
      <w:bookmarkStart w:id="52" w:name="_Toc364392608"/>
      <w:bookmarkStart w:id="53" w:name="_Toc31041"/>
      <w:bookmarkStart w:id="54" w:name="_Toc3956"/>
      <w:bookmarkStart w:id="55" w:name="_Toc29357076"/>
      <w:r>
        <w:rPr>
          <w:rFonts w:hint="eastAsia" w:ascii="仿宋" w:hAnsi="仿宋" w:eastAsia="仿宋" w:cs="仿宋"/>
          <w:color w:val="auto"/>
          <w:spacing w:val="10"/>
          <w:highlight w:val="none"/>
        </w:rPr>
        <w:t>投标人</w:t>
      </w:r>
      <w:r>
        <w:rPr>
          <w:rFonts w:hint="eastAsia" w:ascii="仿宋" w:hAnsi="仿宋" w:eastAsia="仿宋" w:cs="仿宋"/>
          <w:color w:val="auto"/>
          <w:highlight w:val="none"/>
        </w:rPr>
        <w:t>须知前附表</w:t>
      </w:r>
      <w:bookmarkEnd w:id="51"/>
      <w:bookmarkEnd w:id="52"/>
      <w:bookmarkEnd w:id="53"/>
      <w:bookmarkEnd w:id="54"/>
    </w:p>
    <w:tbl>
      <w:tblPr>
        <w:tblStyle w:val="23"/>
        <w:tblW w:w="9511" w:type="dxa"/>
        <w:jc w:val="center"/>
        <w:tblLayout w:type="fixed"/>
        <w:tblCellMar>
          <w:top w:w="0" w:type="dxa"/>
          <w:left w:w="108" w:type="dxa"/>
          <w:bottom w:w="0" w:type="dxa"/>
          <w:right w:w="108" w:type="dxa"/>
        </w:tblCellMar>
      </w:tblPr>
      <w:tblGrid>
        <w:gridCol w:w="949"/>
        <w:gridCol w:w="2108"/>
        <w:gridCol w:w="6454"/>
      </w:tblGrid>
      <w:tr w14:paraId="5C108B9B">
        <w:tblPrEx>
          <w:tblCellMar>
            <w:top w:w="0" w:type="dxa"/>
            <w:left w:w="108" w:type="dxa"/>
            <w:bottom w:w="0" w:type="dxa"/>
            <w:right w:w="108" w:type="dxa"/>
          </w:tblCellMar>
        </w:tblPrEx>
        <w:trPr>
          <w:trHeight w:val="61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55457BB">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2108" w:type="dxa"/>
            <w:tcBorders>
              <w:top w:val="single" w:color="auto" w:sz="4" w:space="0"/>
              <w:left w:val="single" w:color="auto" w:sz="4" w:space="0"/>
              <w:bottom w:val="single" w:color="auto" w:sz="4" w:space="0"/>
              <w:right w:val="single" w:color="auto" w:sz="4" w:space="0"/>
            </w:tcBorders>
            <w:vAlign w:val="center"/>
          </w:tcPr>
          <w:p w14:paraId="1B07946C">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条款名称</w:t>
            </w:r>
          </w:p>
        </w:tc>
        <w:tc>
          <w:tcPr>
            <w:tcW w:w="6454" w:type="dxa"/>
            <w:tcBorders>
              <w:top w:val="single" w:color="auto" w:sz="4" w:space="0"/>
              <w:left w:val="single" w:color="auto" w:sz="4" w:space="0"/>
              <w:bottom w:val="single" w:color="auto" w:sz="4" w:space="0"/>
              <w:right w:val="single" w:color="auto" w:sz="4" w:space="0"/>
            </w:tcBorders>
            <w:vAlign w:val="center"/>
          </w:tcPr>
          <w:p w14:paraId="1FBB8873">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14:paraId="25E7977E">
        <w:tblPrEx>
          <w:tblCellMar>
            <w:top w:w="0" w:type="dxa"/>
            <w:left w:w="108" w:type="dxa"/>
            <w:bottom w:w="0" w:type="dxa"/>
            <w:right w:w="108" w:type="dxa"/>
          </w:tblCellMar>
        </w:tblPrEx>
        <w:trPr>
          <w:trHeight w:val="64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4D2C6E4">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2108" w:type="dxa"/>
            <w:tcBorders>
              <w:top w:val="single" w:color="auto" w:sz="4" w:space="0"/>
              <w:left w:val="single" w:color="auto" w:sz="4" w:space="0"/>
              <w:bottom w:val="single" w:color="auto" w:sz="4" w:space="0"/>
              <w:right w:val="single" w:color="auto" w:sz="4" w:space="0"/>
            </w:tcBorders>
            <w:vAlign w:val="center"/>
          </w:tcPr>
          <w:p w14:paraId="39992120">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招标人</w:t>
            </w:r>
          </w:p>
        </w:tc>
        <w:tc>
          <w:tcPr>
            <w:tcW w:w="6454" w:type="dxa"/>
            <w:tcBorders>
              <w:top w:val="single" w:color="auto" w:sz="4" w:space="0"/>
              <w:left w:val="single" w:color="auto" w:sz="4" w:space="0"/>
              <w:bottom w:val="single" w:color="auto" w:sz="4" w:space="0"/>
              <w:right w:val="single" w:color="auto" w:sz="4" w:space="0"/>
            </w:tcBorders>
            <w:vAlign w:val="center"/>
          </w:tcPr>
          <w:p w14:paraId="6DE6E87C">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名称：永胜县中医医院</w:t>
            </w:r>
          </w:p>
          <w:p w14:paraId="2E5881FE">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地址：丽江市永胜县沧阳路</w:t>
            </w:r>
          </w:p>
          <w:p w14:paraId="61F61885">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联系方式：0888-6521907</w:t>
            </w:r>
          </w:p>
        </w:tc>
      </w:tr>
      <w:tr w14:paraId="6F231D8E">
        <w:tblPrEx>
          <w:tblCellMar>
            <w:top w:w="0" w:type="dxa"/>
            <w:left w:w="108" w:type="dxa"/>
            <w:bottom w:w="0" w:type="dxa"/>
            <w:right w:w="108" w:type="dxa"/>
          </w:tblCellMar>
        </w:tblPrEx>
        <w:trPr>
          <w:trHeight w:val="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B1EDE08">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2108" w:type="dxa"/>
            <w:tcBorders>
              <w:top w:val="single" w:color="auto" w:sz="4" w:space="0"/>
              <w:left w:val="single" w:color="auto" w:sz="4" w:space="0"/>
              <w:bottom w:val="single" w:color="auto" w:sz="4" w:space="0"/>
              <w:right w:val="single" w:color="auto" w:sz="4" w:space="0"/>
            </w:tcBorders>
            <w:vAlign w:val="center"/>
          </w:tcPr>
          <w:p w14:paraId="20F068A1">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采购代理机构</w:t>
            </w:r>
          </w:p>
        </w:tc>
        <w:tc>
          <w:tcPr>
            <w:tcW w:w="6454" w:type="dxa"/>
            <w:tcBorders>
              <w:top w:val="single" w:color="auto" w:sz="4" w:space="0"/>
              <w:left w:val="single" w:color="auto" w:sz="4" w:space="0"/>
              <w:bottom w:val="single" w:color="auto" w:sz="4" w:space="0"/>
              <w:right w:val="single" w:color="auto" w:sz="4" w:space="0"/>
            </w:tcBorders>
            <w:vAlign w:val="center"/>
          </w:tcPr>
          <w:p w14:paraId="0E6BB209">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名称：云南蓝本招标咨询有限公司</w:t>
            </w:r>
          </w:p>
          <w:p w14:paraId="0860DEC7">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地址：云南省昆明市西山区环城南路668号东南亚商场写字楼A座17楼2、3号</w:t>
            </w:r>
          </w:p>
          <w:p w14:paraId="75B9A161">
            <w:pPr>
              <w:keepNext w:val="0"/>
              <w:keepLines w:val="0"/>
              <w:pageBreakBefore w:val="0"/>
              <w:shd w:val="clear"/>
              <w:kinsoku/>
              <w:wordWrap/>
              <w:overflowPunct/>
              <w:topLinePunct w:val="0"/>
              <w:autoSpaceDE/>
              <w:autoSpaceDN/>
              <w:bidi w:val="0"/>
              <w:adjustRightInd/>
              <w:snapToGrid/>
              <w:spacing w:line="400" w:lineRule="exact"/>
              <w:ind w:left="0"/>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联系方式：杨帆、李宏英、王易文0888-8880196</w:t>
            </w:r>
          </w:p>
        </w:tc>
      </w:tr>
      <w:tr w14:paraId="41243D7A">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D59CF48">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108" w:type="dxa"/>
            <w:tcBorders>
              <w:top w:val="single" w:color="auto" w:sz="4" w:space="0"/>
              <w:left w:val="single" w:color="auto" w:sz="4" w:space="0"/>
              <w:bottom w:val="single" w:color="auto" w:sz="4" w:space="0"/>
              <w:right w:val="single" w:color="auto" w:sz="4" w:space="0"/>
            </w:tcBorders>
            <w:vAlign w:val="center"/>
          </w:tcPr>
          <w:p w14:paraId="20FA8A00">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项目名称及项目编号</w:t>
            </w:r>
          </w:p>
        </w:tc>
        <w:tc>
          <w:tcPr>
            <w:tcW w:w="6454" w:type="dxa"/>
            <w:tcBorders>
              <w:top w:val="single" w:color="auto" w:sz="4" w:space="0"/>
              <w:left w:val="single" w:color="auto" w:sz="4" w:space="0"/>
              <w:bottom w:val="single" w:color="auto" w:sz="4" w:space="0"/>
              <w:right w:val="single" w:color="auto" w:sz="4" w:space="0"/>
            </w:tcBorders>
            <w:vAlign w:val="center"/>
          </w:tcPr>
          <w:p w14:paraId="308C549B">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项目名称：永胜县中医医院中药饮片采购项目</w:t>
            </w:r>
          </w:p>
          <w:p w14:paraId="0BD66628">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项目编号：LJZC2025-G1-00112-YNLB-0058</w:t>
            </w:r>
          </w:p>
        </w:tc>
      </w:tr>
      <w:tr w14:paraId="1BC99735">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51F7ED">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108" w:type="dxa"/>
            <w:tcBorders>
              <w:top w:val="single" w:color="auto" w:sz="4" w:space="0"/>
              <w:left w:val="single" w:color="auto" w:sz="4" w:space="0"/>
              <w:bottom w:val="single" w:color="auto" w:sz="4" w:space="0"/>
              <w:right w:val="single" w:color="auto" w:sz="4" w:space="0"/>
            </w:tcBorders>
            <w:vAlign w:val="center"/>
          </w:tcPr>
          <w:p w14:paraId="1D05AF6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6454" w:type="dxa"/>
            <w:tcBorders>
              <w:top w:val="single" w:color="auto" w:sz="4" w:space="0"/>
              <w:left w:val="single" w:color="auto" w:sz="4" w:space="0"/>
              <w:bottom w:val="single" w:color="auto" w:sz="4" w:space="0"/>
              <w:right w:val="single" w:color="auto" w:sz="4" w:space="0"/>
            </w:tcBorders>
            <w:vAlign w:val="center"/>
          </w:tcPr>
          <w:p w14:paraId="4D88E029">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见招标文件第一章《招标公告》“一、项目基本情况”，具体要求等详见本招标文件第五章《采购需求》。</w:t>
            </w:r>
          </w:p>
        </w:tc>
      </w:tr>
      <w:tr w14:paraId="0C6EABC3">
        <w:tblPrEx>
          <w:tblCellMar>
            <w:top w:w="0" w:type="dxa"/>
            <w:left w:w="108" w:type="dxa"/>
            <w:bottom w:w="0" w:type="dxa"/>
            <w:right w:w="108" w:type="dxa"/>
          </w:tblCellMar>
        </w:tblPrEx>
        <w:trPr>
          <w:trHeight w:val="2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18CD725">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1.5</w:t>
            </w:r>
          </w:p>
        </w:tc>
        <w:tc>
          <w:tcPr>
            <w:tcW w:w="2108" w:type="dxa"/>
            <w:tcBorders>
              <w:top w:val="single" w:color="auto" w:sz="4" w:space="0"/>
              <w:left w:val="single" w:color="auto" w:sz="4" w:space="0"/>
              <w:bottom w:val="single" w:color="auto" w:sz="4" w:space="0"/>
              <w:right w:val="single" w:color="auto" w:sz="4" w:space="0"/>
            </w:tcBorders>
            <w:vAlign w:val="center"/>
          </w:tcPr>
          <w:p w14:paraId="629B8190">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合同履行期限</w:t>
            </w:r>
          </w:p>
        </w:tc>
        <w:tc>
          <w:tcPr>
            <w:tcW w:w="6454" w:type="dxa"/>
            <w:tcBorders>
              <w:top w:val="single" w:color="auto" w:sz="4" w:space="0"/>
              <w:left w:val="single" w:color="auto" w:sz="4" w:space="0"/>
              <w:bottom w:val="single" w:color="auto" w:sz="4" w:space="0"/>
              <w:right w:val="single" w:color="auto" w:sz="4" w:space="0"/>
            </w:tcBorders>
            <w:vAlign w:val="center"/>
          </w:tcPr>
          <w:p w14:paraId="59A74F01">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2"/>
                <w:highlight w:val="none"/>
                <w:lang w:val="en-US" w:eastAsia="zh-CN"/>
              </w:rPr>
              <w:t>自合同签订之日起，至预算金额用完为止，医院每年对供货方进行质量、服务、履约能力考核，考核合格后续签合同。对不可抗力、招标人预算及业务调整、国家及省市集中采购等因素不能再实施本项目的，招标人将以书面形式告知中标人，并有权单方面终止项目合同的执行，招标人对此不承担任何责任。在合同期内出现两次以上质量问题退货或两次以上逾期交货的，整改期间或整改后仍出现同样问题，招标人有权解除合同。</w:t>
            </w:r>
          </w:p>
        </w:tc>
      </w:tr>
      <w:tr w14:paraId="4887D2E6">
        <w:tblPrEx>
          <w:tblCellMar>
            <w:top w:w="0" w:type="dxa"/>
            <w:left w:w="108" w:type="dxa"/>
            <w:bottom w:w="0" w:type="dxa"/>
            <w:right w:w="108" w:type="dxa"/>
          </w:tblCellMar>
        </w:tblPrEx>
        <w:trPr>
          <w:trHeight w:val="2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9056330">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1.6</w:t>
            </w:r>
          </w:p>
        </w:tc>
        <w:tc>
          <w:tcPr>
            <w:tcW w:w="2108" w:type="dxa"/>
            <w:tcBorders>
              <w:top w:val="single" w:color="auto" w:sz="4" w:space="0"/>
              <w:left w:val="single" w:color="auto" w:sz="4" w:space="0"/>
              <w:bottom w:val="single" w:color="auto" w:sz="4" w:space="0"/>
              <w:right w:val="single" w:color="auto" w:sz="4" w:space="0"/>
            </w:tcBorders>
            <w:vAlign w:val="center"/>
          </w:tcPr>
          <w:p w14:paraId="20601F9B">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lang w:val="en-US" w:eastAsia="zh-CN"/>
              </w:rPr>
              <w:t>供货时限</w:t>
            </w:r>
          </w:p>
        </w:tc>
        <w:tc>
          <w:tcPr>
            <w:tcW w:w="6454" w:type="dxa"/>
            <w:tcBorders>
              <w:top w:val="single" w:color="auto" w:sz="4" w:space="0"/>
              <w:left w:val="single" w:color="auto" w:sz="4" w:space="0"/>
              <w:bottom w:val="single" w:color="auto" w:sz="4" w:space="0"/>
              <w:right w:val="single" w:color="auto" w:sz="4" w:space="0"/>
            </w:tcBorders>
            <w:vAlign w:val="center"/>
          </w:tcPr>
          <w:p w14:paraId="10CF767A">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2"/>
                <w:highlight w:val="none"/>
                <w:lang w:val="en-US" w:eastAsia="zh-CN"/>
              </w:rPr>
              <w:t>接到招标人通知后，分批次按采购方要求完成所有中药饮片的供货，在接到采购通知后，急需中药饮片要求24小时配送到位，一般中药饮片不超过5个工作日，并能保证一周内多次配送，供货时需附带中药饮片每批次每种中药饮片检验报告书。</w:t>
            </w:r>
          </w:p>
        </w:tc>
      </w:tr>
      <w:tr w14:paraId="05394293">
        <w:tblPrEx>
          <w:tblCellMar>
            <w:top w:w="0" w:type="dxa"/>
            <w:left w:w="108" w:type="dxa"/>
            <w:bottom w:w="0" w:type="dxa"/>
            <w:right w:w="108" w:type="dxa"/>
          </w:tblCellMar>
        </w:tblPrEx>
        <w:trPr>
          <w:trHeight w:val="2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E92FBF">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1.7</w:t>
            </w:r>
          </w:p>
        </w:tc>
        <w:tc>
          <w:tcPr>
            <w:tcW w:w="2108" w:type="dxa"/>
            <w:tcBorders>
              <w:top w:val="single" w:color="auto" w:sz="4" w:space="0"/>
              <w:left w:val="single" w:color="auto" w:sz="4" w:space="0"/>
              <w:bottom w:val="single" w:color="auto" w:sz="4" w:space="0"/>
              <w:right w:val="single" w:color="auto" w:sz="4" w:space="0"/>
            </w:tcBorders>
            <w:vAlign w:val="center"/>
          </w:tcPr>
          <w:p w14:paraId="1758A752">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6454" w:type="dxa"/>
            <w:tcBorders>
              <w:top w:val="single" w:color="auto" w:sz="4" w:space="0"/>
              <w:left w:val="single" w:color="auto" w:sz="4" w:space="0"/>
              <w:bottom w:val="single" w:color="auto" w:sz="4" w:space="0"/>
              <w:right w:val="single" w:color="auto" w:sz="4" w:space="0"/>
            </w:tcBorders>
            <w:vAlign w:val="center"/>
          </w:tcPr>
          <w:p w14:paraId="499A1E0D">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招标人指定地点。</w:t>
            </w:r>
          </w:p>
        </w:tc>
      </w:tr>
      <w:tr w14:paraId="049CF8AC">
        <w:tblPrEx>
          <w:tblCellMar>
            <w:top w:w="0" w:type="dxa"/>
            <w:left w:w="108" w:type="dxa"/>
            <w:bottom w:w="0" w:type="dxa"/>
            <w:right w:w="108" w:type="dxa"/>
          </w:tblCellMar>
        </w:tblPrEx>
        <w:trPr>
          <w:trHeight w:val="2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97FD617">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1.8</w:t>
            </w:r>
          </w:p>
        </w:tc>
        <w:tc>
          <w:tcPr>
            <w:tcW w:w="2108" w:type="dxa"/>
            <w:tcBorders>
              <w:top w:val="single" w:color="auto" w:sz="4" w:space="0"/>
              <w:left w:val="single" w:color="auto" w:sz="4" w:space="0"/>
              <w:bottom w:val="single" w:color="auto" w:sz="4" w:space="0"/>
              <w:right w:val="single" w:color="auto" w:sz="4" w:space="0"/>
            </w:tcBorders>
            <w:vAlign w:val="center"/>
          </w:tcPr>
          <w:p w14:paraId="1EC82665">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保质期</w:t>
            </w:r>
          </w:p>
        </w:tc>
        <w:tc>
          <w:tcPr>
            <w:tcW w:w="6454" w:type="dxa"/>
            <w:tcBorders>
              <w:top w:val="single" w:color="auto" w:sz="4" w:space="0"/>
              <w:left w:val="single" w:color="auto" w:sz="4" w:space="0"/>
              <w:bottom w:val="single" w:color="auto" w:sz="4" w:space="0"/>
              <w:right w:val="single" w:color="auto" w:sz="4" w:space="0"/>
            </w:tcBorders>
            <w:vAlign w:val="center"/>
          </w:tcPr>
          <w:p w14:paraId="747AE3D7">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以中药饮片生产企业标签标注的保质期为准，但中标人应确保招标人在收货时中药饮片标签标注剩余保质期天数不得低于总保质期天数的80%。</w:t>
            </w:r>
          </w:p>
        </w:tc>
      </w:tr>
      <w:tr w14:paraId="15DA4F22">
        <w:tblPrEx>
          <w:tblCellMar>
            <w:top w:w="0" w:type="dxa"/>
            <w:left w:w="108" w:type="dxa"/>
            <w:bottom w:w="0" w:type="dxa"/>
            <w:right w:w="108" w:type="dxa"/>
          </w:tblCellMar>
        </w:tblPrEx>
        <w:trPr>
          <w:trHeight w:val="2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C05180F">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08" w:type="dxa"/>
            <w:tcBorders>
              <w:top w:val="single" w:color="auto" w:sz="4" w:space="0"/>
              <w:left w:val="single" w:color="auto" w:sz="4" w:space="0"/>
              <w:bottom w:val="single" w:color="auto" w:sz="4" w:space="0"/>
              <w:right w:val="single" w:color="auto" w:sz="4" w:space="0"/>
            </w:tcBorders>
            <w:vAlign w:val="center"/>
          </w:tcPr>
          <w:p w14:paraId="1CB629A5">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454" w:type="dxa"/>
            <w:tcBorders>
              <w:top w:val="single" w:color="auto" w:sz="4" w:space="0"/>
              <w:left w:val="single" w:color="auto" w:sz="4" w:space="0"/>
              <w:bottom w:val="single" w:color="auto" w:sz="4" w:space="0"/>
              <w:right w:val="single" w:color="auto" w:sz="4" w:space="0"/>
            </w:tcBorders>
            <w:vAlign w:val="center"/>
          </w:tcPr>
          <w:p w14:paraId="72957CD9">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财政资金。</w:t>
            </w:r>
          </w:p>
        </w:tc>
      </w:tr>
      <w:tr w14:paraId="70B9A432">
        <w:tblPrEx>
          <w:tblCellMar>
            <w:top w:w="0" w:type="dxa"/>
            <w:left w:w="108" w:type="dxa"/>
            <w:bottom w:w="0" w:type="dxa"/>
            <w:right w:w="108" w:type="dxa"/>
          </w:tblCellMar>
        </w:tblPrEx>
        <w:trPr>
          <w:trHeight w:val="2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914A28D">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2108" w:type="dxa"/>
            <w:tcBorders>
              <w:top w:val="single" w:color="auto" w:sz="4" w:space="0"/>
              <w:left w:val="single" w:color="auto" w:sz="4" w:space="0"/>
              <w:bottom w:val="single" w:color="auto" w:sz="4" w:space="0"/>
              <w:right w:val="single" w:color="auto" w:sz="4" w:space="0"/>
            </w:tcBorders>
            <w:vAlign w:val="center"/>
          </w:tcPr>
          <w:p w14:paraId="584700DF">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《中华人民共和国政府采购法》第二十二条规定</w:t>
            </w:r>
          </w:p>
        </w:tc>
        <w:tc>
          <w:tcPr>
            <w:tcW w:w="6454" w:type="dxa"/>
            <w:tcBorders>
              <w:top w:val="single" w:color="auto" w:sz="4" w:space="0"/>
              <w:left w:val="single" w:color="auto" w:sz="4" w:space="0"/>
              <w:bottom w:val="single" w:color="auto" w:sz="4" w:space="0"/>
              <w:right w:val="single" w:color="auto" w:sz="4" w:space="0"/>
            </w:tcBorders>
            <w:vAlign w:val="center"/>
          </w:tcPr>
          <w:p w14:paraId="43D129AC">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详见招标文件第一章《招标公告》“二、投标人的资格要求”。</w:t>
            </w:r>
          </w:p>
        </w:tc>
      </w:tr>
      <w:tr w14:paraId="39D613E6">
        <w:tblPrEx>
          <w:tblCellMar>
            <w:top w:w="0" w:type="dxa"/>
            <w:left w:w="108" w:type="dxa"/>
            <w:bottom w:w="0" w:type="dxa"/>
            <w:right w:w="108" w:type="dxa"/>
          </w:tblCellMar>
        </w:tblPrEx>
        <w:trPr>
          <w:trHeight w:val="62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597120D">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2108" w:type="dxa"/>
            <w:tcBorders>
              <w:top w:val="single" w:color="auto" w:sz="4" w:space="0"/>
              <w:left w:val="single" w:color="auto" w:sz="4" w:space="0"/>
              <w:bottom w:val="single" w:color="auto" w:sz="4" w:space="0"/>
              <w:right w:val="single" w:color="auto" w:sz="4" w:space="0"/>
            </w:tcBorders>
            <w:vAlign w:val="center"/>
          </w:tcPr>
          <w:p w14:paraId="084C732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落实采购政策需满足的资格要求</w:t>
            </w:r>
          </w:p>
        </w:tc>
        <w:tc>
          <w:tcPr>
            <w:tcW w:w="6454" w:type="dxa"/>
            <w:tcBorders>
              <w:top w:val="single" w:color="auto" w:sz="4" w:space="0"/>
              <w:left w:val="single" w:color="auto" w:sz="4" w:space="0"/>
              <w:bottom w:val="single" w:color="auto" w:sz="4" w:space="0"/>
              <w:right w:val="single" w:color="auto" w:sz="4" w:space="0"/>
            </w:tcBorders>
            <w:vAlign w:val="center"/>
          </w:tcPr>
          <w:p w14:paraId="677F6543">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详见招标文件第一章《招标公告》“二、投标人的资格要求”。</w:t>
            </w:r>
          </w:p>
        </w:tc>
      </w:tr>
      <w:tr w14:paraId="29EC329A">
        <w:tblPrEx>
          <w:tblCellMar>
            <w:top w:w="0" w:type="dxa"/>
            <w:left w:w="108" w:type="dxa"/>
            <w:bottom w:w="0" w:type="dxa"/>
            <w:right w:w="108" w:type="dxa"/>
          </w:tblCellMar>
        </w:tblPrEx>
        <w:trPr>
          <w:trHeight w:val="147"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ACB4B5F">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2108" w:type="dxa"/>
            <w:tcBorders>
              <w:top w:val="single" w:color="auto" w:sz="4" w:space="0"/>
              <w:left w:val="single" w:color="auto" w:sz="4" w:space="0"/>
              <w:bottom w:val="single" w:color="auto" w:sz="4" w:space="0"/>
              <w:right w:val="single" w:color="auto" w:sz="4" w:space="0"/>
            </w:tcBorders>
            <w:vAlign w:val="center"/>
          </w:tcPr>
          <w:p w14:paraId="40F7370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本项目的特定资格要求</w:t>
            </w:r>
          </w:p>
        </w:tc>
        <w:tc>
          <w:tcPr>
            <w:tcW w:w="6454" w:type="dxa"/>
            <w:tcBorders>
              <w:top w:val="single" w:color="auto" w:sz="4" w:space="0"/>
              <w:left w:val="single" w:color="auto" w:sz="4" w:space="0"/>
              <w:bottom w:val="single" w:color="auto" w:sz="4" w:space="0"/>
              <w:right w:val="single" w:color="auto" w:sz="4" w:space="0"/>
            </w:tcBorders>
            <w:vAlign w:val="center"/>
          </w:tcPr>
          <w:p w14:paraId="43EE4324">
            <w:pPr>
              <w:keepNext w:val="0"/>
              <w:keepLines w:val="0"/>
              <w:pageBreakBefore w:val="0"/>
              <w:widowControl/>
              <w:shd w:val="clear"/>
              <w:kinsoku/>
              <w:wordWrap/>
              <w:overflowPunct/>
              <w:topLinePunct w:val="0"/>
              <w:autoSpaceDE/>
              <w:autoSpaceDN/>
              <w:bidi w:val="0"/>
              <w:adjustRightInd/>
              <w:snapToGrid/>
              <w:spacing w:line="400" w:lineRule="exact"/>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详见招标文件第一章《招标公告》“二、投标人的资格要求”</w:t>
            </w:r>
            <w:r>
              <w:rPr>
                <w:rFonts w:hint="eastAsia" w:ascii="仿宋" w:hAnsi="仿宋" w:eastAsia="仿宋" w:cs="仿宋"/>
                <w:color w:val="auto"/>
                <w:sz w:val="24"/>
                <w:szCs w:val="24"/>
                <w:highlight w:val="none"/>
                <w:lang w:eastAsia="zh-CN"/>
              </w:rPr>
              <w:t>。</w:t>
            </w:r>
          </w:p>
        </w:tc>
      </w:tr>
      <w:tr w14:paraId="40D8B101">
        <w:tblPrEx>
          <w:tblCellMar>
            <w:top w:w="0" w:type="dxa"/>
            <w:left w:w="108" w:type="dxa"/>
            <w:bottom w:w="0" w:type="dxa"/>
            <w:right w:w="108" w:type="dxa"/>
          </w:tblCellMar>
        </w:tblPrEx>
        <w:trPr>
          <w:trHeight w:val="147"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B40486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2108" w:type="dxa"/>
            <w:tcBorders>
              <w:top w:val="single" w:color="auto" w:sz="4" w:space="0"/>
              <w:left w:val="single" w:color="auto" w:sz="4" w:space="0"/>
              <w:bottom w:val="single" w:color="auto" w:sz="4" w:space="0"/>
              <w:right w:val="single" w:color="auto" w:sz="4" w:space="0"/>
            </w:tcBorders>
            <w:vAlign w:val="center"/>
          </w:tcPr>
          <w:p w14:paraId="61A9B714">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是否接受联合体参加</w:t>
            </w:r>
          </w:p>
        </w:tc>
        <w:tc>
          <w:tcPr>
            <w:tcW w:w="6454" w:type="dxa"/>
            <w:tcBorders>
              <w:top w:val="single" w:color="auto" w:sz="4" w:space="0"/>
              <w:left w:val="single" w:color="auto" w:sz="4" w:space="0"/>
              <w:bottom w:val="single" w:color="auto" w:sz="4" w:space="0"/>
              <w:right w:val="single" w:color="auto" w:sz="4" w:space="0"/>
            </w:tcBorders>
            <w:vAlign w:val="center"/>
          </w:tcPr>
          <w:p w14:paraId="5EDD5238">
            <w:pPr>
              <w:keepNext w:val="0"/>
              <w:keepLines w:val="0"/>
              <w:pageBreakBefore w:val="0"/>
              <w:widowControl/>
              <w:shd w:val="clear"/>
              <w:kinsoku/>
              <w:wordWrap/>
              <w:overflowPunct/>
              <w:topLinePunct w:val="0"/>
              <w:autoSpaceDE/>
              <w:autoSpaceDN/>
              <w:bidi w:val="0"/>
              <w:adjustRightInd/>
              <w:snapToGrid/>
              <w:spacing w:line="400" w:lineRule="exact"/>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w:t>
            </w:r>
          </w:p>
        </w:tc>
      </w:tr>
      <w:tr w14:paraId="662E6F21">
        <w:tblPrEx>
          <w:tblCellMar>
            <w:top w:w="0" w:type="dxa"/>
            <w:left w:w="108" w:type="dxa"/>
            <w:bottom w:w="0" w:type="dxa"/>
            <w:right w:w="108" w:type="dxa"/>
          </w:tblCellMar>
        </w:tblPrEx>
        <w:trPr>
          <w:trHeight w:val="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A90A15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2108" w:type="dxa"/>
            <w:tcBorders>
              <w:top w:val="single" w:color="auto" w:sz="4" w:space="0"/>
              <w:left w:val="single" w:color="auto" w:sz="4" w:space="0"/>
              <w:bottom w:val="single" w:color="auto" w:sz="4" w:space="0"/>
              <w:right w:val="single" w:color="auto" w:sz="4" w:space="0"/>
            </w:tcBorders>
            <w:vAlign w:val="center"/>
          </w:tcPr>
          <w:p w14:paraId="4FBC6508">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现场考察</w:t>
            </w:r>
          </w:p>
        </w:tc>
        <w:tc>
          <w:tcPr>
            <w:tcW w:w="6454" w:type="dxa"/>
            <w:tcBorders>
              <w:top w:val="single" w:color="auto" w:sz="4" w:space="0"/>
              <w:left w:val="single" w:color="auto" w:sz="4" w:space="0"/>
              <w:bottom w:val="single" w:color="auto" w:sz="4" w:space="0"/>
              <w:right w:val="single" w:color="auto" w:sz="4" w:space="0"/>
            </w:tcBorders>
            <w:vAlign w:val="center"/>
          </w:tcPr>
          <w:p w14:paraId="038393D6">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5BFD832A">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8580206">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p>
        </w:tc>
        <w:tc>
          <w:tcPr>
            <w:tcW w:w="2108" w:type="dxa"/>
            <w:tcBorders>
              <w:top w:val="single" w:color="auto" w:sz="4" w:space="0"/>
              <w:left w:val="single" w:color="auto" w:sz="4" w:space="0"/>
              <w:bottom w:val="single" w:color="auto" w:sz="4" w:space="0"/>
              <w:right w:val="single" w:color="auto" w:sz="4" w:space="0"/>
            </w:tcBorders>
            <w:vAlign w:val="center"/>
          </w:tcPr>
          <w:p w14:paraId="3C940134">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开标前答疑会</w:t>
            </w:r>
          </w:p>
        </w:tc>
        <w:tc>
          <w:tcPr>
            <w:tcW w:w="6454" w:type="dxa"/>
            <w:tcBorders>
              <w:top w:val="single" w:color="auto" w:sz="4" w:space="0"/>
              <w:left w:val="single" w:color="auto" w:sz="4" w:space="0"/>
              <w:bottom w:val="single" w:color="auto" w:sz="4" w:space="0"/>
              <w:right w:val="single" w:color="auto" w:sz="4" w:space="0"/>
            </w:tcBorders>
            <w:vAlign w:val="center"/>
          </w:tcPr>
          <w:p w14:paraId="1E0E13D7">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03A3CF21">
        <w:tblPrEx>
          <w:tblCellMar>
            <w:top w:w="0" w:type="dxa"/>
            <w:left w:w="108" w:type="dxa"/>
            <w:bottom w:w="0" w:type="dxa"/>
            <w:right w:w="108" w:type="dxa"/>
          </w:tblCellMar>
        </w:tblPrEx>
        <w:trPr>
          <w:trHeight w:val="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139110E">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p>
        </w:tc>
        <w:tc>
          <w:tcPr>
            <w:tcW w:w="2108" w:type="dxa"/>
            <w:tcBorders>
              <w:top w:val="single" w:color="auto" w:sz="4" w:space="0"/>
              <w:left w:val="single" w:color="auto" w:sz="4" w:space="0"/>
              <w:bottom w:val="single" w:color="auto" w:sz="4" w:space="0"/>
              <w:right w:val="single" w:color="auto" w:sz="4" w:space="0"/>
            </w:tcBorders>
            <w:vAlign w:val="center"/>
          </w:tcPr>
          <w:p w14:paraId="351B9AC4">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招标文件的询问时间</w:t>
            </w:r>
          </w:p>
        </w:tc>
        <w:tc>
          <w:tcPr>
            <w:tcW w:w="6454" w:type="dxa"/>
            <w:tcBorders>
              <w:top w:val="single" w:color="auto" w:sz="4" w:space="0"/>
              <w:left w:val="single" w:color="auto" w:sz="4" w:space="0"/>
              <w:bottom w:val="single" w:color="auto" w:sz="4" w:space="0"/>
              <w:right w:val="single" w:color="auto" w:sz="4" w:space="0"/>
            </w:tcBorders>
            <w:vAlign w:val="center"/>
          </w:tcPr>
          <w:p w14:paraId="3465C7F2">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投标人应认真阅读招标文件，如有疑问的，投标人可以向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在接到询问后的3个工作日内对投标人依法提出的询问作出答复，但答复的内容不涉及商业秘密。</w:t>
            </w:r>
          </w:p>
        </w:tc>
      </w:tr>
      <w:tr w14:paraId="54F05746">
        <w:tblPrEx>
          <w:tblCellMar>
            <w:top w:w="0" w:type="dxa"/>
            <w:left w:w="108" w:type="dxa"/>
            <w:bottom w:w="0" w:type="dxa"/>
            <w:right w:w="108" w:type="dxa"/>
          </w:tblCellMar>
        </w:tblPrEx>
        <w:trPr>
          <w:trHeight w:val="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964F3B5">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2108" w:type="dxa"/>
            <w:tcBorders>
              <w:top w:val="single" w:color="auto" w:sz="4" w:space="0"/>
              <w:left w:val="single" w:color="auto" w:sz="4" w:space="0"/>
              <w:bottom w:val="single" w:color="auto" w:sz="4" w:space="0"/>
              <w:right w:val="single" w:color="auto" w:sz="4" w:space="0"/>
            </w:tcBorders>
            <w:vAlign w:val="center"/>
          </w:tcPr>
          <w:p w14:paraId="38358AE6">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招标文件的询问联系方式</w:t>
            </w:r>
          </w:p>
        </w:tc>
        <w:tc>
          <w:tcPr>
            <w:tcW w:w="6454" w:type="dxa"/>
            <w:tcBorders>
              <w:top w:val="single" w:color="auto" w:sz="4" w:space="0"/>
              <w:left w:val="single" w:color="auto" w:sz="4" w:space="0"/>
              <w:bottom w:val="single" w:color="auto" w:sz="4" w:space="0"/>
              <w:right w:val="single" w:color="auto" w:sz="4" w:space="0"/>
            </w:tcBorders>
            <w:vAlign w:val="center"/>
          </w:tcPr>
          <w:p w14:paraId="41BA1293">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询问联系人：</w:t>
            </w:r>
            <w:r>
              <w:rPr>
                <w:rFonts w:hint="eastAsia" w:ascii="仿宋" w:hAnsi="仿宋" w:eastAsia="仿宋" w:cs="仿宋"/>
                <w:color w:val="auto"/>
                <w:sz w:val="24"/>
                <w:szCs w:val="24"/>
                <w:highlight w:val="none"/>
                <w:lang w:val="en-US" w:eastAsia="zh-CN"/>
              </w:rPr>
              <w:t>杨帆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李宏英</w:t>
            </w:r>
          </w:p>
          <w:p w14:paraId="6254CC7E">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0888-8880196</w:t>
            </w:r>
          </w:p>
        </w:tc>
      </w:tr>
      <w:tr w14:paraId="6CA5E1C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44E3101">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8.9</w:t>
            </w:r>
          </w:p>
        </w:tc>
        <w:tc>
          <w:tcPr>
            <w:tcW w:w="2108" w:type="dxa"/>
            <w:tcBorders>
              <w:top w:val="single" w:color="auto" w:sz="4" w:space="0"/>
              <w:left w:val="single" w:color="auto" w:sz="4" w:space="0"/>
              <w:bottom w:val="single" w:color="auto" w:sz="4" w:space="0"/>
              <w:right w:val="single" w:color="auto" w:sz="4" w:space="0"/>
            </w:tcBorders>
            <w:vAlign w:val="center"/>
          </w:tcPr>
          <w:p w14:paraId="1F4DF5F6">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接收质疑函的方式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部门、联系方式及地点</w:t>
            </w:r>
          </w:p>
        </w:tc>
        <w:tc>
          <w:tcPr>
            <w:tcW w:w="6454" w:type="dxa"/>
            <w:tcBorders>
              <w:top w:val="single" w:color="auto" w:sz="4" w:space="0"/>
              <w:left w:val="single" w:color="auto" w:sz="4" w:space="0"/>
              <w:bottom w:val="single" w:color="auto" w:sz="4" w:space="0"/>
              <w:right w:val="single" w:color="auto" w:sz="4" w:space="0"/>
            </w:tcBorders>
            <w:vAlign w:val="center"/>
          </w:tcPr>
          <w:p w14:paraId="011D5BD4">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接收质疑函的方式：书面方式</w:t>
            </w:r>
          </w:p>
          <w:p w14:paraId="71724FB0">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接收质疑函的部门：云南蓝本招标咨询有限公司</w:t>
            </w:r>
          </w:p>
          <w:p w14:paraId="20DEE10A">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联系人：杨帆，电话：0888-8880196</w:t>
            </w:r>
          </w:p>
          <w:p w14:paraId="3BF4CDBE">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通讯地址：云南省丽江市古城区西安街道民主路红太阳广场旁玉水坊商业中心D1栋二楼综合办公室</w:t>
            </w:r>
          </w:p>
        </w:tc>
      </w:tr>
      <w:tr w14:paraId="3704E3F0">
        <w:tblPrEx>
          <w:tblCellMar>
            <w:top w:w="0" w:type="dxa"/>
            <w:left w:w="108" w:type="dxa"/>
            <w:bottom w:w="0" w:type="dxa"/>
            <w:right w:w="108" w:type="dxa"/>
          </w:tblCellMar>
        </w:tblPrEx>
        <w:trPr>
          <w:trHeight w:val="12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D01C156">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108" w:type="dxa"/>
            <w:tcBorders>
              <w:top w:val="single" w:color="auto" w:sz="4" w:space="0"/>
              <w:left w:val="single" w:color="auto" w:sz="4" w:space="0"/>
              <w:bottom w:val="single" w:color="auto" w:sz="4" w:space="0"/>
              <w:right w:val="single" w:color="auto" w:sz="4" w:space="0"/>
            </w:tcBorders>
            <w:vAlign w:val="center"/>
          </w:tcPr>
          <w:p w14:paraId="2F29DC5F">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招标文件澄清、修改时间</w:t>
            </w:r>
          </w:p>
        </w:tc>
        <w:tc>
          <w:tcPr>
            <w:tcW w:w="6454" w:type="dxa"/>
            <w:tcBorders>
              <w:top w:val="single" w:color="auto" w:sz="4" w:space="0"/>
              <w:left w:val="single" w:color="auto" w:sz="4" w:space="0"/>
              <w:bottom w:val="single" w:color="auto" w:sz="4" w:space="0"/>
              <w:right w:val="single" w:color="auto" w:sz="4" w:space="0"/>
            </w:tcBorders>
            <w:vAlign w:val="center"/>
          </w:tcPr>
          <w:p w14:paraId="112809B2">
            <w:pPr>
              <w:keepNext w:val="0"/>
              <w:keepLines w:val="0"/>
              <w:pageBreakBefore w:val="0"/>
              <w:shd w:val="clear"/>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澄清或者修改的内容可能影响投标文件编制的，招标人或者采购代理机构将在投标截止时间至少15日前，以书面形式通知所有获取招标文件的潜在投标人；不足15日的，招标人或者采购代理机构将顺延提交投标文件的截止时间。</w:t>
            </w:r>
          </w:p>
        </w:tc>
      </w:tr>
      <w:tr w14:paraId="5DB91E4E">
        <w:tblPrEx>
          <w:tblCellMar>
            <w:top w:w="0" w:type="dxa"/>
            <w:left w:w="108" w:type="dxa"/>
            <w:bottom w:w="0" w:type="dxa"/>
            <w:right w:w="108" w:type="dxa"/>
          </w:tblCellMar>
        </w:tblPrEx>
        <w:trPr>
          <w:trHeight w:val="12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7692787">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rPr>
              <w:t>17.1</w:t>
            </w:r>
          </w:p>
        </w:tc>
        <w:tc>
          <w:tcPr>
            <w:tcW w:w="2108" w:type="dxa"/>
            <w:tcBorders>
              <w:top w:val="single" w:color="auto" w:sz="4" w:space="0"/>
              <w:left w:val="single" w:color="auto" w:sz="4" w:space="0"/>
              <w:bottom w:val="single" w:color="auto" w:sz="4" w:space="0"/>
              <w:right w:val="single" w:color="auto" w:sz="4" w:space="0"/>
            </w:tcBorders>
            <w:vAlign w:val="center"/>
          </w:tcPr>
          <w:p w14:paraId="59C48912">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454" w:type="dxa"/>
            <w:tcBorders>
              <w:top w:val="single" w:color="auto" w:sz="4" w:space="0"/>
              <w:left w:val="single" w:color="auto" w:sz="4" w:space="0"/>
              <w:bottom w:val="single" w:color="auto" w:sz="4" w:space="0"/>
              <w:right w:val="single" w:color="auto" w:sz="4" w:space="0"/>
            </w:tcBorders>
            <w:vAlign w:val="center"/>
          </w:tcPr>
          <w:p w14:paraId="42D9A165">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从提交投标文件截止之日起90日历天。</w:t>
            </w:r>
          </w:p>
        </w:tc>
      </w:tr>
      <w:tr w14:paraId="4B8688EA">
        <w:tblPrEx>
          <w:tblCellMar>
            <w:top w:w="0" w:type="dxa"/>
            <w:left w:w="108" w:type="dxa"/>
            <w:bottom w:w="0" w:type="dxa"/>
            <w:right w:w="108" w:type="dxa"/>
          </w:tblCellMar>
        </w:tblPrEx>
        <w:trPr>
          <w:trHeight w:val="3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2365898">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rPr>
              <w:t>18.1</w:t>
            </w:r>
          </w:p>
        </w:tc>
        <w:tc>
          <w:tcPr>
            <w:tcW w:w="2108" w:type="dxa"/>
            <w:tcBorders>
              <w:top w:val="single" w:color="auto" w:sz="4" w:space="0"/>
              <w:left w:val="single" w:color="auto" w:sz="4" w:space="0"/>
              <w:bottom w:val="single" w:color="auto" w:sz="4" w:space="0"/>
              <w:right w:val="single" w:color="auto" w:sz="4" w:space="0"/>
            </w:tcBorders>
            <w:vAlign w:val="center"/>
          </w:tcPr>
          <w:p w14:paraId="5969FEA0">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454" w:type="dxa"/>
            <w:tcBorders>
              <w:top w:val="single" w:color="auto" w:sz="4" w:space="0"/>
              <w:left w:val="single" w:color="auto" w:sz="4" w:space="0"/>
              <w:bottom w:val="single" w:color="auto" w:sz="4" w:space="0"/>
              <w:right w:val="single" w:color="auto" w:sz="4" w:space="0"/>
            </w:tcBorders>
            <w:vAlign w:val="center"/>
          </w:tcPr>
          <w:p w14:paraId="5CFAC594">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投标保证金形式</w:t>
            </w:r>
          </w:p>
          <w:p w14:paraId="76C8DB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以支票、汇票、本票或者金融机构、担保机构出具的保函等非现金形式提交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投标人可根据实际情况，选择保证金的提</w:t>
            </w:r>
            <w:r>
              <w:rPr>
                <w:rFonts w:hint="eastAsia" w:ascii="仿宋" w:hAnsi="仿宋" w:eastAsia="仿宋" w:cs="仿宋"/>
                <w:color w:val="auto"/>
                <w:sz w:val="24"/>
                <w:highlight w:val="none"/>
                <w:lang w:val="en-US" w:eastAsia="zh-CN"/>
              </w:rPr>
              <w:t>交</w:t>
            </w:r>
            <w:r>
              <w:rPr>
                <w:rFonts w:hint="eastAsia" w:ascii="仿宋" w:hAnsi="仿宋" w:eastAsia="仿宋" w:cs="仿宋"/>
                <w:color w:val="auto"/>
                <w:sz w:val="24"/>
                <w:highlight w:val="none"/>
              </w:rPr>
              <w:t>方式。</w:t>
            </w:r>
          </w:p>
          <w:p w14:paraId="02A367BF">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二、投标保证金金额</w:t>
            </w:r>
          </w:p>
          <w:p w14:paraId="6A8CF605">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小写：60000.00元   大写：陆万元整</w:t>
            </w:r>
          </w:p>
          <w:p w14:paraId="68B5AB52">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三、投标保证金办理程序</w:t>
            </w:r>
          </w:p>
          <w:p w14:paraId="5EBF6F04">
            <w:pPr>
              <w:keepNext w:val="0"/>
              <w:keepLines w:val="0"/>
              <w:pageBreakBefore w:val="0"/>
              <w:kinsoku/>
              <w:wordWrap/>
              <w:overflowPunct/>
              <w:topLinePunct w:val="0"/>
              <w:autoSpaceDE/>
              <w:autoSpaceDN/>
              <w:bidi w:val="0"/>
              <w:adjustRightInd/>
              <w:snapToGrid/>
              <w:spacing w:line="400" w:lineRule="exact"/>
              <w:ind w:left="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以保函</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保证保险</w:t>
            </w:r>
            <w:r>
              <w:rPr>
                <w:rFonts w:hint="eastAsia" w:ascii="仿宋" w:hAnsi="仿宋" w:eastAsia="仿宋" w:cs="仿宋"/>
                <w:b/>
                <w:bCs/>
                <w:sz w:val="24"/>
                <w:highlight w:val="none"/>
              </w:rPr>
              <w:t>形式提交</w:t>
            </w:r>
          </w:p>
          <w:p w14:paraId="23294018">
            <w:pPr>
              <w:keepNext w:val="0"/>
              <w:keepLines w:val="0"/>
              <w:pageBreakBefore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需符合相关机构、相关法律法规及招标文件的规定。</w:t>
            </w:r>
          </w:p>
          <w:p w14:paraId="4F6D665F">
            <w:pPr>
              <w:keepNext w:val="0"/>
              <w:keepLines w:val="0"/>
              <w:pageBreakBefore w:val="0"/>
              <w:numPr>
                <w:ilvl w:val="0"/>
                <w:numId w:val="0"/>
              </w:numPr>
              <w:kinsoku/>
              <w:wordWrap/>
              <w:overflowPunct/>
              <w:topLinePunct w:val="0"/>
              <w:autoSpaceDE/>
              <w:autoSpaceDN/>
              <w:bidi w:val="0"/>
              <w:adjustRightInd/>
              <w:snapToGrid/>
              <w:spacing w:line="400" w:lineRule="exact"/>
              <w:ind w:left="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以支票、汇票、本票形式提交</w:t>
            </w:r>
          </w:p>
          <w:p w14:paraId="7DBFB5B3">
            <w:pPr>
              <w:keepNext w:val="0"/>
              <w:keepLines w:val="0"/>
              <w:pageBreakBefore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需符合相关机构、相关法律法规及招标文件的规定。</w:t>
            </w:r>
          </w:p>
          <w:p w14:paraId="594598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contextualSpacing/>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3、网银、银行转账、电汇形式提交</w:t>
            </w:r>
          </w:p>
          <w:p w14:paraId="066FEC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投标保证金应以投标人自身的名义提交，并且必须从其</w:t>
            </w:r>
            <w:r>
              <w:rPr>
                <w:rFonts w:hint="eastAsia" w:ascii="仿宋" w:hAnsi="仿宋" w:eastAsia="仿宋" w:cs="仿宋"/>
                <w:color w:val="auto"/>
                <w:sz w:val="24"/>
                <w:highlight w:val="none"/>
                <w:lang w:eastAsia="zh-CN"/>
              </w:rPr>
              <w:t>基本</w:t>
            </w:r>
            <w:r>
              <w:rPr>
                <w:rFonts w:hint="eastAsia" w:ascii="仿宋" w:hAnsi="仿宋" w:eastAsia="仿宋" w:cs="仿宋"/>
                <w:color w:val="auto"/>
                <w:sz w:val="24"/>
                <w:highlight w:val="none"/>
              </w:rPr>
              <w:t>账户一次性汇入或转入</w:t>
            </w:r>
            <w:r>
              <w:rPr>
                <w:rFonts w:hint="eastAsia" w:ascii="仿宋" w:hAnsi="仿宋" w:eastAsia="仿宋" w:cs="仿宋"/>
                <w:color w:val="auto"/>
                <w:sz w:val="24"/>
                <w:highlight w:val="none"/>
                <w:lang w:val="en-US" w:eastAsia="zh-CN"/>
              </w:rPr>
              <w:t>指定的账户</w:t>
            </w:r>
            <w:r>
              <w:rPr>
                <w:rFonts w:hint="eastAsia" w:ascii="仿宋" w:hAnsi="仿宋" w:eastAsia="仿宋" w:cs="仿宋"/>
                <w:color w:val="auto"/>
                <w:sz w:val="24"/>
                <w:highlight w:val="none"/>
              </w:rPr>
              <w:t>，不得以分支机</w:t>
            </w:r>
            <w:r>
              <w:rPr>
                <w:rFonts w:hint="eastAsia" w:ascii="仿宋" w:hAnsi="仿宋" w:eastAsia="仿宋" w:cs="仿宋"/>
                <w:color w:val="auto"/>
                <w:sz w:val="24"/>
                <w:highlight w:val="none"/>
                <w:lang w:eastAsia="zh-CN"/>
              </w:rPr>
              <w:t>构及</w:t>
            </w:r>
            <w:r>
              <w:rPr>
                <w:rFonts w:hint="eastAsia" w:ascii="仿宋" w:hAnsi="仿宋" w:eastAsia="仿宋" w:cs="仿宋"/>
                <w:color w:val="auto"/>
                <w:sz w:val="24"/>
                <w:highlight w:val="none"/>
              </w:rPr>
              <w:t>其他名义提交（按照规定，投标人为自然人的除外）。</w:t>
            </w:r>
          </w:p>
          <w:p w14:paraId="14AFD5BA">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rPr>
              <w:t>下账户：</w:t>
            </w:r>
          </w:p>
          <w:p w14:paraId="59D57710">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开户行：招商银行丽江分行营业部</w:t>
            </w:r>
          </w:p>
          <w:p w14:paraId="683BAB26">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户名：云南蓝本招标咨询有限公司丽江分公司</w:t>
            </w:r>
          </w:p>
          <w:p w14:paraId="6FB5B0A7">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银行账号：888900601510601</w:t>
            </w:r>
          </w:p>
          <w:p w14:paraId="130DFC25">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投标保证金有效期同投标有效期，需符合本章17.1条规定。</w:t>
            </w:r>
          </w:p>
          <w:p w14:paraId="5941B50E">
            <w:pPr>
              <w:keepNext w:val="0"/>
              <w:keepLines w:val="0"/>
              <w:pageBreakBefore w:val="0"/>
              <w:widowControl w:val="0"/>
              <w:kinsoku/>
              <w:wordWrap/>
              <w:overflowPunct/>
              <w:topLinePunct w:val="0"/>
              <w:autoSpaceDE/>
              <w:autoSpaceDN/>
              <w:bidi w:val="0"/>
              <w:adjustRightInd/>
              <w:snapToGrid/>
              <w:spacing w:line="400" w:lineRule="exact"/>
              <w:ind w:left="0" w:firstLine="0" w:firstLineChars="0"/>
              <w:contextualSpacing/>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提交投标保证金的截止时间为：同投标截止时间。</w:t>
            </w:r>
          </w:p>
        </w:tc>
      </w:tr>
      <w:tr w14:paraId="3494D133">
        <w:tblPrEx>
          <w:tblCellMar>
            <w:top w:w="0" w:type="dxa"/>
            <w:left w:w="108" w:type="dxa"/>
            <w:bottom w:w="0" w:type="dxa"/>
            <w:right w:w="108" w:type="dxa"/>
          </w:tblCellMar>
        </w:tblPrEx>
        <w:trPr>
          <w:trHeight w:val="546"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8F40FF9">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18.2</w:t>
            </w:r>
          </w:p>
        </w:tc>
        <w:tc>
          <w:tcPr>
            <w:tcW w:w="2108" w:type="dxa"/>
            <w:tcBorders>
              <w:top w:val="single" w:color="auto" w:sz="4" w:space="0"/>
              <w:left w:val="single" w:color="auto" w:sz="4" w:space="0"/>
              <w:bottom w:val="single" w:color="auto" w:sz="4" w:space="0"/>
              <w:right w:val="single" w:color="auto" w:sz="4" w:space="0"/>
            </w:tcBorders>
            <w:vAlign w:val="center"/>
          </w:tcPr>
          <w:p w14:paraId="3534233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val="en-US" w:eastAsia="zh-CN"/>
              </w:rPr>
              <w:t>退还</w:t>
            </w:r>
          </w:p>
        </w:tc>
        <w:tc>
          <w:tcPr>
            <w:tcW w:w="6454" w:type="dxa"/>
            <w:tcBorders>
              <w:top w:val="single" w:color="auto" w:sz="4" w:space="0"/>
              <w:left w:val="single" w:color="auto" w:sz="4" w:space="0"/>
              <w:bottom w:val="single" w:color="auto" w:sz="4" w:space="0"/>
              <w:right w:val="single" w:color="auto" w:sz="4" w:space="0"/>
            </w:tcBorders>
            <w:vAlign w:val="center"/>
          </w:tcPr>
          <w:p w14:paraId="70B11143">
            <w:pPr>
              <w:pStyle w:val="14"/>
              <w:keepNext w:val="0"/>
              <w:keepLines w:val="0"/>
              <w:pageBreakBefore w:val="0"/>
              <w:numPr>
                <w:ilvl w:val="0"/>
                <w:numId w:val="0"/>
              </w:numPr>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或者采购代理机构自中标通知书发出之日起5个工作日内退还未中标人的投标保证金，自采购合同签订之日起5个工作日内退还中标人的投标保证金。</w:t>
            </w:r>
          </w:p>
        </w:tc>
      </w:tr>
      <w:tr w14:paraId="42CB16DE">
        <w:tblPrEx>
          <w:tblCellMar>
            <w:top w:w="0" w:type="dxa"/>
            <w:left w:w="108" w:type="dxa"/>
            <w:bottom w:w="0" w:type="dxa"/>
            <w:right w:w="108" w:type="dxa"/>
          </w:tblCellMar>
        </w:tblPrEx>
        <w:trPr>
          <w:trHeight w:val="121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146D28D">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108" w:type="dxa"/>
            <w:tcBorders>
              <w:top w:val="single" w:color="auto" w:sz="4" w:space="0"/>
              <w:left w:val="single" w:color="auto" w:sz="4" w:space="0"/>
              <w:bottom w:val="single" w:color="auto" w:sz="4" w:space="0"/>
              <w:right w:val="single" w:color="auto" w:sz="4" w:space="0"/>
            </w:tcBorders>
            <w:vAlign w:val="center"/>
          </w:tcPr>
          <w:p w14:paraId="167C53D4">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投标文件提交截止时间、提交投标文件的地点</w:t>
            </w:r>
          </w:p>
        </w:tc>
        <w:tc>
          <w:tcPr>
            <w:tcW w:w="6454" w:type="dxa"/>
            <w:tcBorders>
              <w:top w:val="single" w:color="auto" w:sz="4" w:space="0"/>
              <w:left w:val="single" w:color="auto" w:sz="4" w:space="0"/>
              <w:bottom w:val="single" w:color="auto" w:sz="4" w:space="0"/>
              <w:right w:val="single" w:color="auto" w:sz="4" w:space="0"/>
            </w:tcBorders>
            <w:vAlign w:val="center"/>
          </w:tcPr>
          <w:p w14:paraId="020D5A39">
            <w:pPr>
              <w:pStyle w:val="14"/>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投标文件提交截止时间：详见第一章《招标公告》</w:t>
            </w:r>
            <w:r>
              <w:rPr>
                <w:rFonts w:hint="eastAsia" w:ascii="仿宋" w:hAnsi="仿宋" w:eastAsia="仿宋" w:cs="仿宋"/>
                <w:color w:val="auto"/>
                <w:sz w:val="24"/>
                <w:szCs w:val="24"/>
                <w:highlight w:val="none"/>
                <w:lang w:eastAsia="zh-CN"/>
              </w:rPr>
              <w:t>“四、提交投标文件截止时间”</w:t>
            </w:r>
            <w:r>
              <w:rPr>
                <w:rFonts w:hint="eastAsia" w:ascii="仿宋" w:hAnsi="仿宋" w:eastAsia="仿宋" w:cs="仿宋"/>
                <w:color w:val="auto"/>
                <w:sz w:val="24"/>
                <w:szCs w:val="24"/>
                <w:highlight w:val="none"/>
              </w:rPr>
              <w:t>；</w:t>
            </w:r>
          </w:p>
          <w:p w14:paraId="6D8948AE">
            <w:pPr>
              <w:pStyle w:val="14"/>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提交投标文件的地点：</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highlight w:val="none"/>
                <w:lang w:eastAsia="zh-CN"/>
              </w:rPr>
              <w:t>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rPr>
              <w:t>。</w:t>
            </w:r>
          </w:p>
        </w:tc>
      </w:tr>
      <w:tr w14:paraId="6FD4571E">
        <w:tblPrEx>
          <w:tblCellMar>
            <w:top w:w="0" w:type="dxa"/>
            <w:left w:w="108" w:type="dxa"/>
            <w:bottom w:w="0" w:type="dxa"/>
            <w:right w:w="108" w:type="dxa"/>
          </w:tblCellMar>
        </w:tblPrEx>
        <w:trPr>
          <w:trHeight w:val="18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1B2381">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w:t>
            </w:r>
          </w:p>
        </w:tc>
        <w:tc>
          <w:tcPr>
            <w:tcW w:w="2108" w:type="dxa"/>
            <w:tcBorders>
              <w:top w:val="single" w:color="auto" w:sz="4" w:space="0"/>
              <w:left w:val="single" w:color="auto" w:sz="4" w:space="0"/>
              <w:bottom w:val="single" w:color="auto" w:sz="4" w:space="0"/>
              <w:right w:val="single" w:color="auto" w:sz="4" w:space="0"/>
            </w:tcBorders>
            <w:vAlign w:val="center"/>
          </w:tcPr>
          <w:p w14:paraId="0C38EF3A">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p>
        </w:tc>
        <w:tc>
          <w:tcPr>
            <w:tcW w:w="6454" w:type="dxa"/>
            <w:tcBorders>
              <w:top w:val="single" w:color="auto" w:sz="4" w:space="0"/>
              <w:left w:val="single" w:color="auto" w:sz="4" w:space="0"/>
              <w:bottom w:val="single" w:color="auto" w:sz="4" w:space="0"/>
              <w:right w:val="single" w:color="auto" w:sz="4" w:space="0"/>
            </w:tcBorders>
            <w:vAlign w:val="center"/>
          </w:tcPr>
          <w:p w14:paraId="01F5AE20">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代表和评审专家组成，成员人数为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人及以上单数，其中评审专家不得少于成员总数的三分之二。评标委员会应当推选组长，但</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代表不得担任组长。</w:t>
            </w:r>
          </w:p>
        </w:tc>
      </w:tr>
      <w:tr w14:paraId="776326E0">
        <w:tblPrEx>
          <w:tblCellMar>
            <w:top w:w="0" w:type="dxa"/>
            <w:left w:w="108" w:type="dxa"/>
            <w:bottom w:w="0" w:type="dxa"/>
            <w:right w:w="108" w:type="dxa"/>
          </w:tblCellMar>
        </w:tblPrEx>
        <w:trPr>
          <w:trHeight w:val="23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4C5C312">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w:t>
            </w:r>
          </w:p>
        </w:tc>
        <w:tc>
          <w:tcPr>
            <w:tcW w:w="2108" w:type="dxa"/>
            <w:tcBorders>
              <w:top w:val="single" w:color="auto" w:sz="4" w:space="0"/>
              <w:left w:val="single" w:color="auto" w:sz="4" w:space="0"/>
              <w:bottom w:val="single" w:color="auto" w:sz="4" w:space="0"/>
              <w:right w:val="single" w:color="auto" w:sz="4" w:space="0"/>
            </w:tcBorders>
            <w:vAlign w:val="center"/>
          </w:tcPr>
          <w:p w14:paraId="33448282">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6454" w:type="dxa"/>
            <w:tcBorders>
              <w:top w:val="single" w:color="auto" w:sz="4" w:space="0"/>
              <w:left w:val="single" w:color="auto" w:sz="4" w:space="0"/>
              <w:bottom w:val="single" w:color="auto" w:sz="4" w:space="0"/>
              <w:right w:val="single" w:color="auto" w:sz="4" w:space="0"/>
            </w:tcBorders>
            <w:vAlign w:val="center"/>
          </w:tcPr>
          <w:p w14:paraId="64CFD2F6">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综合评分法</w:t>
            </w:r>
            <w:r>
              <w:rPr>
                <w:rFonts w:hint="eastAsia" w:ascii="仿宋" w:hAnsi="仿宋" w:eastAsia="仿宋" w:cs="仿宋"/>
                <w:color w:val="auto"/>
                <w:sz w:val="24"/>
                <w:szCs w:val="24"/>
                <w:highlight w:val="none"/>
                <w:lang w:eastAsia="zh-CN"/>
              </w:rPr>
              <w:t>。</w:t>
            </w:r>
          </w:p>
        </w:tc>
      </w:tr>
      <w:tr w14:paraId="227D1F1D">
        <w:tblPrEx>
          <w:tblCellMar>
            <w:top w:w="0" w:type="dxa"/>
            <w:left w:w="108" w:type="dxa"/>
            <w:bottom w:w="0" w:type="dxa"/>
            <w:right w:w="108" w:type="dxa"/>
          </w:tblCellMar>
        </w:tblPrEx>
        <w:trPr>
          <w:trHeight w:val="23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C4E7A49">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rPr>
              <w:t>32.1</w:t>
            </w:r>
          </w:p>
        </w:tc>
        <w:tc>
          <w:tcPr>
            <w:tcW w:w="2108" w:type="dxa"/>
            <w:tcBorders>
              <w:top w:val="single" w:color="auto" w:sz="4" w:space="0"/>
              <w:left w:val="single" w:color="auto" w:sz="4" w:space="0"/>
              <w:bottom w:val="single" w:color="auto" w:sz="4" w:space="0"/>
              <w:right w:val="single" w:color="auto" w:sz="4" w:space="0"/>
            </w:tcBorders>
            <w:vAlign w:val="center"/>
          </w:tcPr>
          <w:p w14:paraId="5E8E5C91">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454" w:type="dxa"/>
            <w:tcBorders>
              <w:top w:val="single" w:color="auto" w:sz="4" w:space="0"/>
              <w:left w:val="single" w:color="auto" w:sz="4" w:space="0"/>
              <w:bottom w:val="single" w:color="auto" w:sz="4" w:space="0"/>
              <w:right w:val="single" w:color="auto" w:sz="4" w:space="0"/>
            </w:tcBorders>
            <w:vAlign w:val="center"/>
          </w:tcPr>
          <w:p w14:paraId="362B954A">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1、是否需要提交履约保证金：</w:t>
            </w:r>
          </w:p>
          <w:p w14:paraId="0D06FBE2">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sym w:font="Wingdings 2" w:char="0052"/>
            </w:r>
            <w:r>
              <w:rPr>
                <w:rFonts w:hint="eastAsia" w:ascii="仿宋" w:hAnsi="仿宋" w:eastAsia="仿宋" w:cs="仿宋"/>
                <w:color w:val="auto"/>
                <w:sz w:val="24"/>
                <w:szCs w:val="22"/>
                <w:highlight w:val="none"/>
                <w:lang w:val="en-US" w:eastAsia="zh-CN"/>
              </w:rPr>
              <w:t>是</w:t>
            </w:r>
          </w:p>
          <w:p w14:paraId="1A006EA8">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sym w:font="Wingdings 2" w:char="00A3"/>
            </w:r>
            <w:r>
              <w:rPr>
                <w:rFonts w:hint="eastAsia" w:ascii="仿宋" w:hAnsi="仿宋" w:eastAsia="仿宋" w:cs="仿宋"/>
                <w:color w:val="auto"/>
                <w:sz w:val="24"/>
                <w:szCs w:val="22"/>
                <w:highlight w:val="none"/>
                <w:lang w:val="en-US" w:eastAsia="zh-CN"/>
              </w:rPr>
              <w:t>否</w:t>
            </w:r>
          </w:p>
          <w:p w14:paraId="22628E57">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2、履约保证金提交信息；</w:t>
            </w:r>
          </w:p>
          <w:p w14:paraId="5AC7C3E2">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履约保证金的形式：以支票、汇票、本票或者金融机构、担保机构出具的保函等非现金形式提交</w:t>
            </w:r>
            <w:r>
              <w:rPr>
                <w:rFonts w:hint="eastAsia" w:ascii="仿宋" w:hAnsi="仿宋" w:eastAsia="仿宋" w:cs="仿宋"/>
                <w:color w:val="auto"/>
                <w:sz w:val="24"/>
                <w:szCs w:val="22"/>
                <w:highlight w:val="none"/>
                <w:lang w:eastAsia="zh-CN"/>
              </w:rPr>
              <w:t>；</w:t>
            </w:r>
          </w:p>
          <w:p w14:paraId="3477E0B4">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履约保证金的金额：</w:t>
            </w:r>
            <w:r>
              <w:rPr>
                <w:rFonts w:hint="eastAsia" w:ascii="仿宋" w:hAnsi="仿宋" w:eastAsia="仿宋" w:cs="仿宋"/>
                <w:color w:val="auto"/>
                <w:sz w:val="24"/>
                <w:szCs w:val="22"/>
                <w:highlight w:val="none"/>
                <w:lang w:val="en-US" w:eastAsia="zh-CN"/>
              </w:rPr>
              <w:t>预算金额的5%；</w:t>
            </w:r>
          </w:p>
          <w:p w14:paraId="196380D5">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中标人</w:t>
            </w:r>
            <w:r>
              <w:rPr>
                <w:rFonts w:hint="eastAsia" w:ascii="仿宋" w:hAnsi="仿宋" w:eastAsia="仿宋" w:cs="仿宋"/>
                <w:color w:val="auto"/>
                <w:sz w:val="24"/>
                <w:szCs w:val="22"/>
                <w:highlight w:val="none"/>
              </w:rPr>
              <w:t>不按规定提交履约保证金</w:t>
            </w:r>
            <w:r>
              <w:rPr>
                <w:rFonts w:hint="eastAsia" w:ascii="仿宋" w:hAnsi="仿宋" w:eastAsia="仿宋" w:cs="仿宋"/>
                <w:color w:val="auto"/>
                <w:sz w:val="24"/>
                <w:szCs w:val="22"/>
                <w:highlight w:val="none"/>
                <w:lang w:val="en-US" w:eastAsia="zh-CN"/>
              </w:rPr>
              <w:t>的，将按照相关法律法规执行；</w:t>
            </w:r>
          </w:p>
          <w:p w14:paraId="08FF5565">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履约保证金由</w:t>
            </w:r>
            <w:r>
              <w:rPr>
                <w:rFonts w:hint="eastAsia" w:ascii="仿宋" w:hAnsi="仿宋" w:eastAsia="仿宋" w:cs="仿宋"/>
                <w:color w:val="auto"/>
                <w:sz w:val="24"/>
                <w:szCs w:val="22"/>
                <w:highlight w:val="none"/>
                <w:lang w:val="en-US" w:eastAsia="zh-CN"/>
              </w:rPr>
              <w:t>招标人</w:t>
            </w:r>
            <w:r>
              <w:rPr>
                <w:rFonts w:hint="eastAsia" w:ascii="仿宋" w:hAnsi="仿宋" w:eastAsia="仿宋" w:cs="仿宋"/>
                <w:color w:val="auto"/>
                <w:sz w:val="24"/>
                <w:szCs w:val="22"/>
                <w:highlight w:val="none"/>
              </w:rPr>
              <w:t>代管，</w:t>
            </w:r>
            <w:r>
              <w:rPr>
                <w:rFonts w:hint="eastAsia" w:ascii="仿宋" w:hAnsi="仿宋" w:eastAsia="仿宋" w:cs="仿宋"/>
                <w:color w:val="auto"/>
                <w:sz w:val="24"/>
                <w:szCs w:val="22"/>
                <w:highlight w:val="none"/>
                <w:lang w:eastAsia="zh-CN"/>
              </w:rPr>
              <w:t>待合同履行结束后若无违约行为，</w:t>
            </w:r>
            <w:r>
              <w:rPr>
                <w:rFonts w:hint="eastAsia" w:ascii="仿宋" w:hAnsi="仿宋" w:eastAsia="仿宋" w:cs="仿宋"/>
                <w:color w:val="auto"/>
                <w:sz w:val="24"/>
                <w:szCs w:val="24"/>
                <w:highlight w:val="none"/>
                <w:lang w:val="en-US" w:eastAsia="zh-CN" w:bidi="ar-SA"/>
              </w:rPr>
              <w:t>60个日历天内以转账支票\电汇方式依法依规退还</w:t>
            </w:r>
            <w:r>
              <w:rPr>
                <w:rFonts w:hint="eastAsia" w:ascii="仿宋" w:hAnsi="仿宋" w:eastAsia="仿宋" w:cs="仿宋"/>
                <w:color w:val="auto"/>
                <w:sz w:val="24"/>
                <w:szCs w:val="22"/>
                <w:highlight w:val="none"/>
                <w:lang w:eastAsia="zh-CN"/>
              </w:rPr>
              <w:t>。</w:t>
            </w:r>
          </w:p>
        </w:tc>
      </w:tr>
      <w:tr w14:paraId="710054E0">
        <w:tblPrEx>
          <w:tblCellMar>
            <w:top w:w="0" w:type="dxa"/>
            <w:left w:w="108" w:type="dxa"/>
            <w:bottom w:w="0" w:type="dxa"/>
            <w:right w:w="108" w:type="dxa"/>
          </w:tblCellMar>
        </w:tblPrEx>
        <w:trPr>
          <w:trHeight w:val="23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75B9C2F">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2108" w:type="dxa"/>
            <w:tcBorders>
              <w:top w:val="single" w:color="auto" w:sz="4" w:space="0"/>
              <w:left w:val="single" w:color="auto" w:sz="4" w:space="0"/>
              <w:bottom w:val="single" w:color="auto" w:sz="4" w:space="0"/>
              <w:right w:val="single" w:color="auto" w:sz="4" w:space="0"/>
            </w:tcBorders>
            <w:vAlign w:val="center"/>
          </w:tcPr>
          <w:p w14:paraId="4A49BA97">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中标服务费</w:t>
            </w:r>
          </w:p>
        </w:tc>
        <w:tc>
          <w:tcPr>
            <w:tcW w:w="6454" w:type="dxa"/>
            <w:tcBorders>
              <w:top w:val="single" w:color="auto" w:sz="4" w:space="0"/>
              <w:left w:val="single" w:color="auto" w:sz="4" w:space="0"/>
              <w:bottom w:val="single" w:color="auto" w:sz="4" w:space="0"/>
              <w:right w:val="single" w:color="auto" w:sz="4" w:space="0"/>
            </w:tcBorders>
          </w:tcPr>
          <w:p w14:paraId="69DCBD2C">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1、本项目中标人应向采购代理机构缴付中标服务费。</w:t>
            </w:r>
          </w:p>
          <w:p w14:paraId="2AA922F5">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2、本项目</w:t>
            </w:r>
            <w:r>
              <w:rPr>
                <w:rFonts w:hint="eastAsia" w:ascii="仿宋" w:hAnsi="仿宋" w:eastAsia="仿宋" w:cs="仿宋"/>
                <w:color w:val="auto"/>
                <w:sz w:val="24"/>
                <w:szCs w:val="24"/>
                <w:highlight w:val="none"/>
                <w:lang w:eastAsia="zh-CN"/>
              </w:rPr>
              <w:t>中标服务费</w:t>
            </w:r>
            <w:r>
              <w:rPr>
                <w:rFonts w:hint="eastAsia" w:ascii="仿宋" w:hAnsi="仿宋" w:eastAsia="仿宋" w:cs="仿宋"/>
                <w:color w:val="auto"/>
                <w:sz w:val="24"/>
                <w:highlight w:val="none"/>
              </w:rPr>
              <w:t>参照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“国家计委计价格〔2002〕1980号文”的规定，按货物类收费标准向中标人收取（计算基准价为预算金额）。</w:t>
            </w:r>
          </w:p>
          <w:p w14:paraId="052EADB8">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3、中标服务费接受以下形式：现金、银行电汇、网银等形式。</w:t>
            </w:r>
          </w:p>
          <w:p w14:paraId="00AD5AB5">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4、中标服务费收款账户信息：</w:t>
            </w:r>
          </w:p>
          <w:p w14:paraId="5F931FEF">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户名：云南蓝本招标咨询有限公司丽江分公司</w:t>
            </w:r>
          </w:p>
          <w:p w14:paraId="72A650DC">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开户行：招商银行丽江分行营业部</w:t>
            </w:r>
          </w:p>
          <w:p w14:paraId="06BA10DF">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账号：888900601510601</w:t>
            </w:r>
          </w:p>
        </w:tc>
      </w:tr>
      <w:tr w14:paraId="56B1D3A1">
        <w:tblPrEx>
          <w:tblCellMar>
            <w:top w:w="0" w:type="dxa"/>
            <w:left w:w="108" w:type="dxa"/>
            <w:bottom w:w="0" w:type="dxa"/>
            <w:right w:w="108" w:type="dxa"/>
          </w:tblCellMar>
        </w:tblPrEx>
        <w:trPr>
          <w:trHeight w:val="23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3714962">
            <w:pPr>
              <w:keepNext w:val="0"/>
              <w:keepLines w:val="0"/>
              <w:pageBreakBefore w:val="0"/>
              <w:shd w:val="clear"/>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663B4941">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w:t>
            </w:r>
          </w:p>
        </w:tc>
      </w:tr>
      <w:tr w14:paraId="0C982B79">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CE0EEB8">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413BB842">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项目投标人为自然人的，应当由本人</w:t>
            </w:r>
            <w:r>
              <w:rPr>
                <w:rFonts w:hint="eastAsia" w:ascii="仿宋" w:hAnsi="仿宋" w:eastAsia="仿宋" w:cs="仿宋"/>
                <w:color w:val="auto"/>
                <w:sz w:val="24"/>
                <w:szCs w:val="24"/>
                <w:highlight w:val="none"/>
                <w:lang w:eastAsia="zh-CN"/>
              </w:rPr>
              <w:t>（电子签名或签章）</w:t>
            </w:r>
            <w:r>
              <w:rPr>
                <w:rFonts w:hint="eastAsia" w:ascii="仿宋" w:hAnsi="仿宋" w:eastAsia="仿宋" w:cs="仿宋"/>
                <w:color w:val="auto"/>
                <w:sz w:val="24"/>
                <w:szCs w:val="24"/>
                <w:highlight w:val="none"/>
              </w:rPr>
              <w:t>；投标人为法人应当由</w:t>
            </w:r>
            <w:r>
              <w:rPr>
                <w:rFonts w:hint="eastAsia" w:ascii="仿宋" w:hAnsi="仿宋" w:eastAsia="仿宋" w:cs="仿宋"/>
                <w:color w:val="auto"/>
                <w:sz w:val="24"/>
                <w:szCs w:val="24"/>
                <w:highlight w:val="none"/>
                <w:lang w:eastAsia="zh-CN"/>
              </w:rPr>
              <w:t>法定代表人（负责人）（电子签名或签章）</w:t>
            </w:r>
            <w:r>
              <w:rPr>
                <w:rFonts w:hint="eastAsia" w:ascii="仿宋" w:hAnsi="仿宋" w:eastAsia="仿宋" w:cs="仿宋"/>
                <w:color w:val="auto"/>
                <w:sz w:val="24"/>
                <w:szCs w:val="24"/>
                <w:highlight w:val="none"/>
              </w:rPr>
              <w:t>；其他组织的应当由主要负责人</w:t>
            </w:r>
            <w:r>
              <w:rPr>
                <w:rFonts w:hint="eastAsia" w:ascii="仿宋" w:hAnsi="仿宋" w:eastAsia="仿宋" w:cs="仿宋"/>
                <w:color w:val="auto"/>
                <w:sz w:val="24"/>
                <w:szCs w:val="24"/>
                <w:highlight w:val="none"/>
                <w:lang w:eastAsia="zh-CN"/>
              </w:rPr>
              <w:t>（电子签名或签章）</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电子公章。</w:t>
            </w:r>
          </w:p>
        </w:tc>
      </w:tr>
      <w:tr w14:paraId="3F1E465F">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51C104">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0FD22400">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u w:val="none"/>
              </w:rPr>
              <w:t>本</w:t>
            </w:r>
            <w:r>
              <w:rPr>
                <w:rFonts w:hint="eastAsia" w:ascii="仿宋" w:hAnsi="仿宋" w:eastAsia="仿宋" w:cs="仿宋"/>
                <w:b w:val="0"/>
                <w:bCs w:val="0"/>
                <w:color w:val="auto"/>
                <w:sz w:val="24"/>
                <w:szCs w:val="24"/>
                <w:highlight w:val="none"/>
                <w:u w:val="none"/>
                <w:lang w:eastAsia="zh-CN"/>
              </w:rPr>
              <w:t>项目</w:t>
            </w:r>
            <w:r>
              <w:rPr>
                <w:rFonts w:hint="eastAsia" w:ascii="仿宋" w:hAnsi="仿宋" w:eastAsia="仿宋" w:cs="仿宋"/>
                <w:b/>
                <w:bCs/>
                <w:color w:val="auto"/>
                <w:sz w:val="24"/>
                <w:szCs w:val="24"/>
                <w:highlight w:val="none"/>
                <w:u w:val="single"/>
              </w:rPr>
              <w:t>不接受</w:t>
            </w:r>
            <w:r>
              <w:rPr>
                <w:rFonts w:hint="eastAsia" w:ascii="仿宋" w:hAnsi="仿宋" w:eastAsia="仿宋" w:cs="仿宋"/>
                <w:b w:val="0"/>
                <w:bCs w:val="0"/>
                <w:color w:val="auto"/>
                <w:sz w:val="24"/>
                <w:szCs w:val="24"/>
                <w:highlight w:val="none"/>
                <w:u w:val="none"/>
              </w:rPr>
              <w:t>进口产品投标。进口产品是指通过中国海关报关验放进入中国境内且产自</w:t>
            </w:r>
            <w:r>
              <w:rPr>
                <w:rFonts w:hint="eastAsia" w:ascii="仿宋" w:hAnsi="仿宋" w:eastAsia="仿宋" w:cs="仿宋"/>
                <w:b w:val="0"/>
                <w:bCs w:val="0"/>
                <w:color w:val="auto"/>
                <w:sz w:val="24"/>
                <w:szCs w:val="24"/>
                <w:highlight w:val="none"/>
                <w:u w:val="none"/>
                <w:lang w:val="en-US" w:eastAsia="zh-CN"/>
              </w:rPr>
              <w:t>关</w:t>
            </w:r>
            <w:r>
              <w:rPr>
                <w:rFonts w:hint="eastAsia" w:ascii="仿宋" w:hAnsi="仿宋" w:eastAsia="仿宋" w:cs="仿宋"/>
                <w:b w:val="0"/>
                <w:bCs w:val="0"/>
                <w:color w:val="auto"/>
                <w:sz w:val="24"/>
                <w:szCs w:val="24"/>
                <w:highlight w:val="none"/>
                <w:u w:val="none"/>
              </w:rPr>
              <w:t>境外的产品，若招标文件明确不接受进口产品，而投标人所投报产品为进口产品的</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其《投标文件》按无效投标处理。</w:t>
            </w:r>
          </w:p>
        </w:tc>
      </w:tr>
      <w:tr w14:paraId="54835031">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A0C6904">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790EDCE9">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采购项目行业划分：</w:t>
            </w:r>
          </w:p>
          <w:p w14:paraId="6261F412">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本项目采购标的所属行业为</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u w:val="single"/>
              </w:rPr>
              <w:t>“</w:t>
            </w:r>
            <w:r>
              <w:rPr>
                <w:rFonts w:hint="eastAsia" w:ascii="仿宋" w:hAnsi="仿宋" w:eastAsia="仿宋" w:cs="仿宋"/>
                <w:b/>
                <w:color w:val="auto"/>
                <w:sz w:val="24"/>
                <w:szCs w:val="24"/>
                <w:highlight w:val="none"/>
                <w:u w:val="single"/>
                <w:lang w:val="en-US" w:eastAsia="zh-CN"/>
              </w:rPr>
              <w:t>工业</w:t>
            </w:r>
            <w:r>
              <w:rPr>
                <w:rFonts w:hint="eastAsia" w:ascii="仿宋" w:hAnsi="仿宋" w:eastAsia="仿宋" w:cs="仿宋"/>
                <w:b/>
                <w:color w:val="auto"/>
                <w:sz w:val="24"/>
                <w:szCs w:val="24"/>
                <w:highlight w:val="none"/>
                <w:u w:val="single"/>
              </w:rPr>
              <w:t>”。</w:t>
            </w:r>
          </w:p>
        </w:tc>
      </w:tr>
      <w:tr w14:paraId="403F7B1D">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A278B6">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2E62BC88">
            <w:pPr>
              <w:keepNext w:val="0"/>
              <w:keepLines w:val="0"/>
              <w:pageBreakBefore w:val="0"/>
              <w:widowControl w:val="0"/>
              <w:kinsoku/>
              <w:wordWrap/>
              <w:overflowPunct/>
              <w:topLinePunct w:val="0"/>
              <w:bidi w:val="0"/>
              <w:snapToGrid/>
              <w:spacing w:line="420" w:lineRule="exact"/>
              <w:rPr>
                <w:rFonts w:hint="eastAsia" w:ascii="仿宋" w:hAnsi="仿宋" w:eastAsia="仿宋" w:cs="仿宋"/>
                <w:color w:val="auto"/>
                <w:highlight w:val="none"/>
                <w:lang w:val="en-US" w:eastAsia="zh-CN"/>
              </w:rPr>
            </w:pPr>
            <w:r>
              <w:rPr>
                <w:rFonts w:hint="eastAsia" w:ascii="仿宋" w:hAnsi="仿宋" w:eastAsia="仿宋" w:cs="仿宋"/>
                <w:b/>
                <w:bCs/>
                <w:color w:val="auto"/>
                <w:sz w:val="24"/>
                <w:highlight w:val="none"/>
                <w:u w:val="none"/>
              </w:rPr>
              <w:t>本项目核心产品：</w:t>
            </w:r>
            <w:r>
              <w:rPr>
                <w:rFonts w:hint="eastAsia" w:ascii="仿宋" w:hAnsi="仿宋" w:eastAsia="仿宋" w:cs="仿宋"/>
                <w:b/>
                <w:bCs/>
                <w:color w:val="auto"/>
                <w:sz w:val="24"/>
                <w:highlight w:val="none"/>
                <w:u w:val="none"/>
                <w:lang w:val="en-US" w:eastAsia="zh-CN"/>
              </w:rPr>
              <w:t>党参、茯苓、当归、地黄、黄芪、南沙参</w:t>
            </w:r>
          </w:p>
        </w:tc>
      </w:tr>
      <w:tr w14:paraId="58686911">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92BB71B">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4082E916">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投标人在上传投标文件时，应将“开标一览表”上传至“报价文件”部分，将整份投标文件（含封面及目录）上传至“商务及技术文件”部分。</w:t>
            </w:r>
          </w:p>
        </w:tc>
      </w:tr>
      <w:tr w14:paraId="0743FF71">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F302ED4">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10691865">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中标人在《云南省政府采购网》查询到中标公示或接到招标人（采购代理机构）通知后，需办理以下事宜：</w:t>
            </w:r>
          </w:p>
          <w:p w14:paraId="609AA14E">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1、向采购代理机构缴纳中标服务费。</w:t>
            </w:r>
          </w:p>
          <w:p w14:paraId="05770711">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2、领取中标通知书，并与招标人联系、洽谈采购合同。</w:t>
            </w:r>
          </w:p>
          <w:p w14:paraId="2DE0B150">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3、签订政府采购合同当天请及时告知采购代理机构以便于及时退还投标保证金。</w:t>
            </w:r>
          </w:p>
        </w:tc>
      </w:tr>
      <w:tr w14:paraId="7DC80CE3">
        <w:tblPrEx>
          <w:tblCellMar>
            <w:top w:w="0" w:type="dxa"/>
            <w:left w:w="108" w:type="dxa"/>
            <w:bottom w:w="0" w:type="dxa"/>
            <w:right w:w="108" w:type="dxa"/>
          </w:tblCellMar>
        </w:tblPrEx>
        <w:trPr>
          <w:trHeight w:val="24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D3CF5BA">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562" w:type="dxa"/>
            <w:gridSpan w:val="2"/>
            <w:tcBorders>
              <w:top w:val="single" w:color="auto" w:sz="4" w:space="0"/>
              <w:left w:val="single" w:color="auto" w:sz="4" w:space="0"/>
              <w:bottom w:val="single" w:color="auto" w:sz="4" w:space="0"/>
              <w:right w:val="single" w:color="auto" w:sz="4" w:space="0"/>
            </w:tcBorders>
            <w:vAlign w:val="center"/>
          </w:tcPr>
          <w:p w14:paraId="6958D5BA">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本项目要求投标人提供50种饮片样品，评审时样品全部参与评分。</w:t>
            </w:r>
          </w:p>
          <w:p w14:paraId="398FE40E">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投标样品要求：</w:t>
            </w:r>
          </w:p>
          <w:p w14:paraId="3D0395C8">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1、每种饮片须提供1份50g样品，投标时提供的饮片样品作为交货验收时的性状验收依据，交货的饮片性状质量不得低于该样品。</w:t>
            </w:r>
          </w:p>
          <w:p w14:paraId="793169B5">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2、样品需用无任何标注的纸箱封装，纸箱上只允许用一张A4纸粘贴公司名称（注：开标时由监督人员检查封装情况后进行拆封，请投标人轻微粘贴）。</w:t>
            </w:r>
          </w:p>
          <w:p w14:paraId="7155ED88">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3、每份样品按每袋50g（质轻的品种装满样品袋为限）分别单独包装。投标人样品袋统一选用透明塑料自封袋（封口为白色拉条）170mm×240mm包装评标样品，不得体现投标单位信息。</w:t>
            </w:r>
          </w:p>
          <w:p w14:paraId="30E6C63D">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4、样品于2025年04月15日09：00至09:30时递交，逾期将不再收取样品。</w:t>
            </w:r>
          </w:p>
          <w:p w14:paraId="3732A306">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5、递交样品地点：云南省昆明市西山区环城南路668号东南亚商场写字楼A座17楼2、3号评标室2，联</w:t>
            </w:r>
            <w:bookmarkStart w:id="743" w:name="_GoBack"/>
            <w:bookmarkEnd w:id="743"/>
            <w:r>
              <w:rPr>
                <w:rFonts w:hint="eastAsia" w:ascii="仿宋" w:hAnsi="仿宋" w:eastAsia="仿宋" w:cs="仿宋"/>
                <w:color w:val="auto"/>
                <w:sz w:val="24"/>
                <w:szCs w:val="24"/>
                <w:highlight w:val="none"/>
                <w:lang w:val="en-US" w:eastAsia="zh-CN"/>
              </w:rPr>
              <w:t>系方式：杨帆15198977600。</w:t>
            </w:r>
          </w:p>
          <w:p w14:paraId="711C7968">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6、投标人须安排人员远程解密电子投标文件，现场只需安排人员递交样品。</w:t>
            </w:r>
          </w:p>
          <w:p w14:paraId="292215B7">
            <w:pPr>
              <w:keepNext w:val="0"/>
              <w:keepLines w:val="0"/>
              <w:pageBreakBefore w:val="0"/>
              <w:shd w:val="clear"/>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中标单位样品由招标人留存，未中标单位样品代理机构通知后退回。</w:t>
            </w:r>
          </w:p>
        </w:tc>
      </w:tr>
    </w:tbl>
    <w:p w14:paraId="6D5F0415">
      <w:pPr>
        <w:bidi w:val="0"/>
        <w:rPr>
          <w:rFonts w:hint="eastAsia" w:ascii="仿宋" w:hAnsi="仿宋" w:eastAsia="仿宋" w:cs="仿宋"/>
        </w:rPr>
      </w:pPr>
    </w:p>
    <w:p w14:paraId="3320D317">
      <w:pPr>
        <w:bidi w:val="0"/>
        <w:rPr>
          <w:rFonts w:hint="eastAsia" w:ascii="仿宋" w:hAnsi="仿宋" w:eastAsia="仿宋" w:cs="仿宋"/>
        </w:rPr>
      </w:pPr>
    </w:p>
    <w:p w14:paraId="048F6EB8">
      <w:pPr>
        <w:pStyle w:val="3"/>
        <w:shd w:val="clear"/>
        <w:spacing w:line="360" w:lineRule="auto"/>
        <w:ind w:left="0" w:leftChars="0" w:firstLine="0" w:firstLineChars="0"/>
        <w:jc w:val="center"/>
        <w:outlineLvl w:val="1"/>
        <w:rPr>
          <w:rFonts w:hint="eastAsia" w:ascii="仿宋" w:hAnsi="仿宋" w:eastAsia="仿宋" w:cs="仿宋"/>
          <w:color w:val="auto"/>
          <w:sz w:val="30"/>
          <w:szCs w:val="30"/>
          <w:highlight w:val="none"/>
        </w:rPr>
      </w:pPr>
      <w:r>
        <w:rPr>
          <w:rFonts w:hint="eastAsia" w:ascii="仿宋" w:hAnsi="仿宋" w:eastAsia="仿宋" w:cs="仿宋"/>
          <w:color w:val="auto"/>
          <w:highlight w:val="none"/>
        </w:rPr>
        <w:br w:type="page"/>
      </w:r>
      <w:bookmarkStart w:id="56" w:name="_Toc14762"/>
      <w:bookmarkStart w:id="57" w:name="_Toc260"/>
      <w:bookmarkStart w:id="58" w:name="_Toc32463"/>
      <w:r>
        <w:rPr>
          <w:rFonts w:hint="eastAsia" w:ascii="仿宋" w:hAnsi="仿宋" w:eastAsia="仿宋" w:cs="仿宋"/>
          <w:color w:val="auto"/>
          <w:sz w:val="30"/>
          <w:szCs w:val="30"/>
          <w:highlight w:val="none"/>
        </w:rPr>
        <w:t>一、总则</w:t>
      </w:r>
      <w:bookmarkEnd w:id="56"/>
      <w:bookmarkEnd w:id="57"/>
      <w:bookmarkEnd w:id="58"/>
    </w:p>
    <w:p w14:paraId="1FB28D38">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bookmarkStart w:id="59" w:name="_Toc246996919"/>
      <w:bookmarkStart w:id="60" w:name="_Toc152042306"/>
      <w:bookmarkStart w:id="61" w:name="_Toc144974498"/>
      <w:bookmarkStart w:id="62" w:name="_Toc24232"/>
      <w:bookmarkStart w:id="63" w:name="_Toc246996176"/>
      <w:bookmarkStart w:id="64" w:name="_Toc489197808"/>
      <w:bookmarkStart w:id="65" w:name="_Toc296602421"/>
      <w:bookmarkStart w:id="66" w:name="_Toc528186453"/>
      <w:bookmarkStart w:id="67" w:name="_Toc179632547"/>
      <w:bookmarkStart w:id="68" w:name="_Toc152045530"/>
      <w:bookmarkStart w:id="69" w:name="_Toc247085690"/>
      <w:bookmarkStart w:id="70" w:name="_Toc31121"/>
      <w:bookmarkStart w:id="71" w:name="_Toc489145704"/>
      <w:bookmarkStart w:id="72" w:name="_Toc18164"/>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F9C2A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2167F1C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411098C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本项目名称及项目编号：详见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2EB15F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1.4 </w:t>
      </w:r>
      <w:r>
        <w:rPr>
          <w:rFonts w:hint="eastAsia" w:ascii="仿宋" w:hAnsi="仿宋" w:eastAsia="仿宋" w:cs="仿宋"/>
          <w:color w:val="auto"/>
          <w:sz w:val="24"/>
          <w:szCs w:val="24"/>
          <w:highlight w:val="none"/>
        </w:rPr>
        <w:t>本项目采购需求：详见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2EE4789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1.5 </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合同履行期限</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154C5DD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供货期限</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44E2C79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1.7 </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交货地点</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3BB0CE64">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color w:val="auto"/>
          <w:sz w:val="24"/>
          <w:szCs w:val="24"/>
          <w:highlight w:val="none"/>
          <w:lang w:val="en-US" w:eastAsia="zh-CN"/>
        </w:rPr>
        <w:t xml:space="preserve">1.8 </w:t>
      </w:r>
      <w:r>
        <w:rPr>
          <w:rFonts w:hint="eastAsia" w:ascii="仿宋" w:hAnsi="仿宋" w:eastAsia="仿宋" w:cs="仿宋"/>
          <w:color w:val="auto"/>
          <w:sz w:val="24"/>
          <w:szCs w:val="24"/>
          <w:highlight w:val="none"/>
        </w:rPr>
        <w:t>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保质期</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430B348F">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73" w:name="_Toc179632548"/>
      <w:bookmarkStart w:id="74" w:name="_Toc246996920"/>
      <w:bookmarkStart w:id="75" w:name="_Toc152045531"/>
      <w:bookmarkStart w:id="76" w:name="_Toc247085691"/>
      <w:bookmarkStart w:id="77" w:name="_Toc29064"/>
      <w:bookmarkStart w:id="78" w:name="_Toc144974499"/>
      <w:bookmarkStart w:id="79" w:name="_Toc489197809"/>
      <w:bookmarkStart w:id="80" w:name="_Toc296602422"/>
      <w:bookmarkStart w:id="81" w:name="_Toc9634"/>
      <w:bookmarkStart w:id="82" w:name="_Toc489145705"/>
      <w:bookmarkStart w:id="83" w:name="_Toc2063"/>
      <w:bookmarkStart w:id="84" w:name="_Toc528186454"/>
      <w:bookmarkStart w:id="85" w:name="_Toc152042307"/>
      <w:bookmarkStart w:id="86" w:name="_Toc246996177"/>
      <w:r>
        <w:rPr>
          <w:rFonts w:hint="eastAsia" w:ascii="仿宋" w:hAnsi="仿宋" w:eastAsia="仿宋" w:cs="仿宋"/>
          <w:b/>
          <w:bCs/>
          <w:sz w:val="28"/>
          <w:szCs w:val="28"/>
        </w:rPr>
        <w:t>2</w:t>
      </w:r>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资金来源</w:t>
      </w:r>
    </w:p>
    <w:p w14:paraId="113DE057">
      <w:pPr>
        <w:pageBreakBefore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bookmarkStart w:id="87" w:name="_Toc152045532"/>
      <w:bookmarkStart w:id="88" w:name="_Toc247085692"/>
      <w:bookmarkStart w:id="89" w:name="_Toc179632549"/>
      <w:bookmarkStart w:id="90" w:name="_Toc246996178"/>
      <w:bookmarkStart w:id="91" w:name="_Toc152042308"/>
      <w:bookmarkStart w:id="92" w:name="_Toc144974500"/>
      <w:bookmarkStart w:id="93" w:name="_Toc246996921"/>
      <w:bookmarkStart w:id="94" w:name="_Toc296602423"/>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中所述的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资金已落实，用于采购“</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”所列货物。</w:t>
      </w:r>
    </w:p>
    <w:bookmarkEnd w:id="87"/>
    <w:bookmarkEnd w:id="88"/>
    <w:bookmarkEnd w:id="89"/>
    <w:bookmarkEnd w:id="90"/>
    <w:bookmarkEnd w:id="91"/>
    <w:bookmarkEnd w:id="92"/>
    <w:bookmarkEnd w:id="93"/>
    <w:bookmarkEnd w:id="94"/>
    <w:p w14:paraId="44A66069">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bookmarkStart w:id="95" w:name="_Toc296602424"/>
      <w:bookmarkStart w:id="96" w:name="_Toc528186456"/>
      <w:bookmarkStart w:id="97" w:name="_Toc152042310"/>
      <w:bookmarkStart w:id="98" w:name="_Toc4535"/>
      <w:bookmarkStart w:id="99" w:name="_Toc246996922"/>
      <w:bookmarkStart w:id="100" w:name="_Toc152045534"/>
      <w:bookmarkStart w:id="101" w:name="_Toc179632551"/>
      <w:bookmarkStart w:id="102" w:name="_Toc2077"/>
      <w:bookmarkStart w:id="103" w:name="_Toc144974502"/>
      <w:bookmarkStart w:id="104" w:name="_Toc16237"/>
      <w:bookmarkStart w:id="105" w:name="_Toc246996179"/>
      <w:bookmarkStart w:id="106" w:name="_Toc489145707"/>
      <w:bookmarkStart w:id="107" w:name="_Toc489197811"/>
      <w:bookmarkStart w:id="108" w:name="_Toc247085693"/>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投标人资格要求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仿宋" w:hAnsi="仿宋" w:eastAsia="仿宋" w:cs="仿宋"/>
          <w:b/>
          <w:bCs/>
          <w:sz w:val="28"/>
          <w:szCs w:val="28"/>
        </w:rPr>
        <w:t>及其他要求</w:t>
      </w:r>
    </w:p>
    <w:p w14:paraId="3EC2A44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bookmarkStart w:id="109" w:name="_Toc179632552"/>
      <w:bookmarkStart w:id="110" w:name="_Toc144974503"/>
      <w:bookmarkStart w:id="111" w:name="_Toc246996180"/>
      <w:bookmarkStart w:id="112" w:name="_Toc152042311"/>
      <w:bookmarkStart w:id="113" w:name="_Toc152045535"/>
      <w:bookmarkStart w:id="114" w:name="_Toc247085694"/>
      <w:bookmarkStart w:id="115" w:name="_Toc296602425"/>
      <w:bookmarkStart w:id="116" w:name="_Toc246996923"/>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满足《中华人民共和国政府采购法》第二十二条规定：</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58F00AC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落实采购政策需满足的资格要求：</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7987DB1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317895D9">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 联合体要求：</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1CDC4A8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3.4.1 </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规定接受联合体投标的，联合体各方还应遵守以下规定：</w:t>
      </w:r>
    </w:p>
    <w:p w14:paraId="22C557A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）两个以上的自然人、法人或者其他组织可以组成一个联合体，以一个投标人的身份共同参加投标。</w:t>
      </w:r>
    </w:p>
    <w:p w14:paraId="57A7E806">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）参加联合体的投标人均应当具备</w:t>
      </w:r>
      <w:r>
        <w:rPr>
          <w:rFonts w:hint="eastAsia" w:ascii="仿宋" w:hAnsi="仿宋" w:eastAsia="仿宋" w:cs="仿宋"/>
          <w:color w:val="auto"/>
          <w:sz w:val="24"/>
          <w:szCs w:val="24"/>
          <w:highlight w:val="none"/>
          <w:lang w:val="en-US" w:eastAsia="zh-CN"/>
        </w:rPr>
        <w:t>上述“3.1”“3.2”“3.3”</w:t>
      </w:r>
      <w:r>
        <w:rPr>
          <w:rFonts w:hint="eastAsia" w:ascii="仿宋" w:hAnsi="仿宋" w:eastAsia="仿宋" w:cs="仿宋"/>
          <w:color w:val="auto"/>
          <w:sz w:val="24"/>
          <w:szCs w:val="24"/>
          <w:highlight w:val="none"/>
          <w:lang w:eastAsia="zh-CN"/>
        </w:rPr>
        <w:t>规定的条件，并应当向招标人提交联合协议，载明联合体各方承担的工作和义务。</w:t>
      </w:r>
      <w:r>
        <w:rPr>
          <w:rFonts w:hint="eastAsia" w:ascii="仿宋" w:hAnsi="仿宋" w:eastAsia="仿宋" w:cs="仿宋"/>
          <w:color w:val="auto"/>
          <w:sz w:val="24"/>
          <w:szCs w:val="24"/>
          <w:highlight w:val="none"/>
          <w:lang w:val="en-US" w:eastAsia="zh-CN"/>
        </w:rPr>
        <w:t>中标后，</w:t>
      </w:r>
      <w:r>
        <w:rPr>
          <w:rFonts w:hint="eastAsia" w:ascii="仿宋" w:hAnsi="仿宋" w:eastAsia="仿宋" w:cs="仿宋"/>
          <w:color w:val="auto"/>
          <w:sz w:val="24"/>
          <w:szCs w:val="24"/>
          <w:highlight w:val="none"/>
          <w:lang w:eastAsia="zh-CN"/>
        </w:rPr>
        <w:t>联合体各方应当共同与招标人签订采购合同，就采购合同约定的事项对招标人承担连带责任。</w:t>
      </w:r>
    </w:p>
    <w:p w14:paraId="5303A6E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体中有同类资质的投标人按照联合体分工承担相同工作的，按照资质等级较低的投标人确定资质等级。以联合体形式参加政府采购活动的，联合体各方不得再单独参加或者与其他投标人另外组成联合体参加同一合同项下的政府采购活动。</w:t>
      </w:r>
    </w:p>
    <w:p w14:paraId="4567329E">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17" w:name="_Toc7517"/>
      <w:bookmarkStart w:id="118" w:name="_Toc489145708"/>
      <w:bookmarkStart w:id="119" w:name="_Toc9786"/>
      <w:bookmarkStart w:id="120" w:name="_Toc29381"/>
      <w:bookmarkStart w:id="121" w:name="_Toc489197812"/>
      <w:bookmarkStart w:id="122" w:name="_Toc528186457"/>
      <w:r>
        <w:rPr>
          <w:rFonts w:hint="eastAsia" w:ascii="仿宋" w:hAnsi="仿宋" w:eastAsia="仿宋" w:cs="仿宋"/>
          <w:b/>
          <w:bCs/>
          <w:sz w:val="28"/>
          <w:szCs w:val="28"/>
          <w:lang w:val="en-US" w:eastAsia="zh-CN"/>
        </w:rPr>
        <w:t>4、费用承担</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8A8A9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.1不论投标结果如何，投标人均应自行承担所有与准备和参加投标活动有关的全部费用。</w:t>
      </w:r>
    </w:p>
    <w:p w14:paraId="72B6E144">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23" w:name="_Toc489197813"/>
      <w:bookmarkStart w:id="124" w:name="_Toc528186458"/>
      <w:bookmarkStart w:id="125" w:name="_Toc29767"/>
      <w:bookmarkStart w:id="126" w:name="_Toc25690"/>
      <w:bookmarkStart w:id="127" w:name="_Toc489145709"/>
      <w:bookmarkStart w:id="128" w:name="_Toc14617"/>
      <w:r>
        <w:rPr>
          <w:rFonts w:hint="eastAsia" w:ascii="仿宋" w:hAnsi="仿宋" w:eastAsia="仿宋" w:cs="仿宋"/>
          <w:b/>
          <w:bCs/>
          <w:sz w:val="28"/>
          <w:szCs w:val="28"/>
          <w:lang w:val="en-US" w:eastAsia="zh-CN"/>
        </w:rPr>
        <w:t>5、现场考察</w:t>
      </w:r>
      <w:bookmarkEnd w:id="123"/>
      <w:bookmarkEnd w:id="124"/>
      <w:bookmarkEnd w:id="125"/>
      <w:bookmarkEnd w:id="126"/>
      <w:bookmarkEnd w:id="127"/>
      <w:bookmarkEnd w:id="128"/>
    </w:p>
    <w:p w14:paraId="31CE8D0F">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规定组织现场考察的，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按规定的时间、集中地点组织潜在投标人进行现场考察。</w:t>
      </w:r>
    </w:p>
    <w:p w14:paraId="13D4522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现场考察所发生的费用由潜在投标人自理。</w:t>
      </w:r>
    </w:p>
    <w:p w14:paraId="302E711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潜在投标人自行负责在现场考察中所</w:t>
      </w:r>
      <w:r>
        <w:rPr>
          <w:rFonts w:hint="eastAsia" w:ascii="仿宋" w:hAnsi="仿宋" w:eastAsia="仿宋" w:cs="仿宋"/>
          <w:color w:val="auto"/>
          <w:sz w:val="24"/>
          <w:szCs w:val="24"/>
          <w:highlight w:val="none"/>
          <w:lang w:eastAsia="zh-CN"/>
        </w:rPr>
        <w:t>可能</w:t>
      </w:r>
      <w:r>
        <w:rPr>
          <w:rFonts w:hint="eastAsia" w:ascii="仿宋" w:hAnsi="仿宋" w:eastAsia="仿宋" w:cs="仿宋"/>
          <w:color w:val="auto"/>
          <w:sz w:val="24"/>
          <w:szCs w:val="24"/>
          <w:highlight w:val="none"/>
        </w:rPr>
        <w:t>发生的</w:t>
      </w:r>
      <w:r>
        <w:rPr>
          <w:rFonts w:hint="eastAsia" w:ascii="仿宋" w:hAnsi="仿宋" w:eastAsia="仿宋" w:cs="仿宋"/>
          <w:color w:val="auto"/>
          <w:sz w:val="24"/>
          <w:szCs w:val="24"/>
          <w:highlight w:val="none"/>
          <w:lang w:eastAsia="zh-CN"/>
        </w:rPr>
        <w:t>一切安全或经济</w:t>
      </w:r>
      <w:r>
        <w:rPr>
          <w:rFonts w:hint="eastAsia" w:ascii="仿宋" w:hAnsi="仿宋" w:eastAsia="仿宋" w:cs="仿宋"/>
          <w:color w:val="auto"/>
          <w:sz w:val="24"/>
          <w:szCs w:val="24"/>
          <w:highlight w:val="none"/>
        </w:rPr>
        <w:t>损失。</w:t>
      </w:r>
    </w:p>
    <w:p w14:paraId="3C5C9C3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在现场考察中介绍的项目场地和相关的周边环境情况，供潜在投标人在编制投标文件时参考，</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不对潜在投标人据此作出的判断和决策负责。</w:t>
      </w:r>
    </w:p>
    <w:p w14:paraId="07747F6F">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29" w:name="_Toc23342"/>
      <w:bookmarkStart w:id="130" w:name="_Toc26130"/>
      <w:bookmarkStart w:id="131" w:name="_Toc528186459"/>
      <w:bookmarkStart w:id="132" w:name="_Toc27813"/>
      <w:bookmarkStart w:id="133" w:name="_Toc489197814"/>
      <w:bookmarkStart w:id="134" w:name="_Toc489145710"/>
      <w:r>
        <w:rPr>
          <w:rFonts w:hint="eastAsia" w:ascii="仿宋" w:hAnsi="仿宋" w:eastAsia="仿宋" w:cs="仿宋"/>
          <w:b/>
          <w:bCs/>
          <w:sz w:val="28"/>
          <w:szCs w:val="28"/>
          <w:lang w:val="en-US" w:eastAsia="zh-CN"/>
        </w:rPr>
        <w:t>6、开标前答疑会</w:t>
      </w:r>
      <w:bookmarkEnd w:id="129"/>
      <w:bookmarkEnd w:id="130"/>
      <w:bookmarkEnd w:id="131"/>
      <w:bookmarkEnd w:id="132"/>
      <w:bookmarkEnd w:id="133"/>
      <w:bookmarkEnd w:id="134"/>
    </w:p>
    <w:p w14:paraId="7AA1D6DF">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规定召开开标前答疑会的，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按规定的时间和地点召开开标前答疑会，书面澄清潜在投标人提出的问题。</w:t>
      </w:r>
    </w:p>
    <w:p w14:paraId="0DBF2BFD">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7、询问</w:t>
      </w:r>
    </w:p>
    <w:p w14:paraId="2667338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投标人应认真阅读招标文件，如有疑问的，投标人可以向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在接到询问后的3个工作日内对投标人依法提出的询问作出答复，但答复的内容不涉及商业秘密。</w:t>
      </w:r>
    </w:p>
    <w:p w14:paraId="688CE9D8">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招标文件询问联系方式：详见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20E41E68">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35" w:name="_Toc528186460"/>
      <w:bookmarkStart w:id="136" w:name="_Toc489197815"/>
      <w:bookmarkStart w:id="137" w:name="_Toc489145711"/>
      <w:bookmarkStart w:id="138" w:name="_Toc24436"/>
      <w:bookmarkStart w:id="139" w:name="_Toc2280"/>
      <w:bookmarkStart w:id="140" w:name="_Toc4930"/>
      <w:r>
        <w:rPr>
          <w:rFonts w:hint="eastAsia" w:ascii="仿宋" w:hAnsi="仿宋" w:eastAsia="仿宋" w:cs="仿宋"/>
          <w:b/>
          <w:bCs/>
          <w:sz w:val="28"/>
          <w:szCs w:val="28"/>
          <w:lang w:val="en-US" w:eastAsia="zh-CN"/>
        </w:rPr>
        <w:t>8、质疑</w:t>
      </w:r>
      <w:bookmarkEnd w:id="135"/>
      <w:bookmarkEnd w:id="136"/>
      <w:bookmarkEnd w:id="137"/>
      <w:bookmarkEnd w:id="138"/>
      <w:bookmarkEnd w:id="139"/>
      <w:bookmarkEnd w:id="140"/>
    </w:p>
    <w:p w14:paraId="11AE9C29">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141" w:name="_Toc489145712"/>
      <w:bookmarkStart w:id="142" w:name="_Toc489197816"/>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投标人认为招标文件、采购过程、中标结果使自己的权益受到损害的，可以在知道或者应知其权益受到损害之日起7个工作日内，以书面形式向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采购代理机构提出疑问</w:t>
      </w:r>
      <w:r>
        <w:rPr>
          <w:rFonts w:hint="eastAsia" w:ascii="仿宋" w:hAnsi="仿宋" w:eastAsia="仿宋" w:cs="仿宋"/>
          <w:color w:val="auto"/>
          <w:sz w:val="24"/>
          <w:szCs w:val="24"/>
          <w:highlight w:val="none"/>
        </w:rPr>
        <w:t>。投标人应在法定质疑期内一次性提出针对同一采购程序环节的质疑，否则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有权拒收。</w:t>
      </w:r>
    </w:p>
    <w:p w14:paraId="7953E96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招标文件第二章《投标人须知》8.1条中“知道或者应知其权益受到损害之日”是指：</w:t>
      </w:r>
    </w:p>
    <w:p w14:paraId="7F78563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）对可以质疑的采购文件提出质疑的，为收到采购文件之日或者采购文件公告期限届满之日；</w:t>
      </w:r>
    </w:p>
    <w:p w14:paraId="7FAC770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）对采购过程提出质疑的，为各采购程序环节结束之日；</w:t>
      </w:r>
    </w:p>
    <w:p w14:paraId="06F42322">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）对中标或者成交结果提出质疑的，为中标或者成交结果公告期限届满之日。</w:t>
      </w:r>
    </w:p>
    <w:p w14:paraId="4596994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投标人可以委托代理人进行质疑。其授权委托书应当载明代理人的姓名或者名称、代理事项、具体权限、期限和相关事项。投标人为自然人的，应当由本人签字；投标人为法人或者其他组织的，应当由</w:t>
      </w:r>
      <w:r>
        <w:rPr>
          <w:rFonts w:hint="eastAsia" w:ascii="仿宋" w:hAnsi="仿宋" w:eastAsia="仿宋" w:cs="仿宋"/>
          <w:color w:val="auto"/>
          <w:sz w:val="24"/>
          <w:szCs w:val="24"/>
          <w:highlight w:val="none"/>
          <w:lang w:eastAsia="zh-CN"/>
        </w:rPr>
        <w:t>法定代表人（负责人）</w:t>
      </w:r>
      <w:r>
        <w:rPr>
          <w:rFonts w:hint="eastAsia" w:ascii="仿宋" w:hAnsi="仿宋" w:eastAsia="仿宋" w:cs="仿宋"/>
          <w:color w:val="auto"/>
          <w:sz w:val="24"/>
          <w:szCs w:val="24"/>
          <w:highlight w:val="none"/>
        </w:rPr>
        <w:t>、主要负责人签字或者盖章，并加盖公章。代理人提出质疑，应当提交投标人签署的授权委托书。</w:t>
      </w:r>
    </w:p>
    <w:p w14:paraId="700E970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提出质疑的投标人应当是参与</w:t>
      </w: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项目采购活动的投标人。</w:t>
      </w:r>
    </w:p>
    <w:p w14:paraId="618883A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提出质疑应符合《政府采购质疑和投诉办法》（中华人民共和国财政部令第94号）和财政部《政府采购投标人质疑函范本》的规定。投标人提出质疑应当提交质疑函和必要的证明材料。质疑函应当包括下列内容：</w:t>
      </w:r>
    </w:p>
    <w:p w14:paraId="4B39CBE2">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）投标人的姓名或者名称、地址、邮编、联系人及联系电话；</w:t>
      </w:r>
    </w:p>
    <w:p w14:paraId="0DDCEBB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）质疑项目的名称、编号；</w:t>
      </w:r>
    </w:p>
    <w:p w14:paraId="2395357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）具体、明确的质疑事项和与质疑事项相关的请求；</w:t>
      </w:r>
    </w:p>
    <w:p w14:paraId="21D8D76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）事实依据；</w:t>
      </w:r>
    </w:p>
    <w:p w14:paraId="35FB5F6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）必要的法律依据；</w:t>
      </w:r>
    </w:p>
    <w:p w14:paraId="7F9C52A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）提出质疑的日期。</w:t>
      </w:r>
    </w:p>
    <w:p w14:paraId="7D6B274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投标人为自然人的，应当由本人签字；投标人为法人或者其他组织的，应当由</w:t>
      </w:r>
      <w:r>
        <w:rPr>
          <w:rFonts w:hint="eastAsia" w:ascii="仿宋" w:hAnsi="仿宋" w:eastAsia="仿宋" w:cs="仿宋"/>
          <w:color w:val="auto"/>
          <w:sz w:val="24"/>
          <w:szCs w:val="24"/>
          <w:highlight w:val="none"/>
          <w:lang w:eastAsia="zh-CN"/>
        </w:rPr>
        <w:t>法定代表人（负责人）</w:t>
      </w:r>
      <w:r>
        <w:rPr>
          <w:rFonts w:hint="eastAsia" w:ascii="仿宋" w:hAnsi="仿宋" w:eastAsia="仿宋" w:cs="仿宋"/>
          <w:color w:val="auto"/>
          <w:sz w:val="24"/>
          <w:szCs w:val="24"/>
          <w:highlight w:val="none"/>
        </w:rPr>
        <w:t>、主要负责人，或者其授权代表签字或者盖章，并加盖公章。</w:t>
      </w:r>
    </w:p>
    <w:p w14:paraId="631720D9">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投标人不得捏造事实、提供虚假材料或者以非法手段取得证明材料。</w:t>
      </w:r>
    </w:p>
    <w:p w14:paraId="599B26B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质疑函应当使用中文。相关当事人提供外文书证或者外国语视听资料的，应当附有中文译本，由翻译机构盖章或者翻译人员签名。</w:t>
      </w:r>
    </w:p>
    <w:p w14:paraId="2074EF1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将在收到投标人质疑函后七个工作日内作出答复，但质疑答复的内容不涉及商业秘密。</w:t>
      </w:r>
    </w:p>
    <w:p w14:paraId="65C8596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投标人对评审过程、中标结果提出质疑的，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可以组织原评标委员会协助答复质疑。质疑答复导致中标结果改变的，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会将有关情况书面报告本级财政部门。</w:t>
      </w:r>
    </w:p>
    <w:p w14:paraId="6637286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8.9</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接收质疑函的方式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部门、联系方式及地点</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lang w:eastAsia="zh-CN"/>
        </w:rPr>
        <w:t>。</w:t>
      </w:r>
    </w:p>
    <w:p w14:paraId="1B1E43E7">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43" w:name="_Toc528186461"/>
      <w:bookmarkStart w:id="144" w:name="_Toc12771"/>
      <w:bookmarkStart w:id="145" w:name="_Toc21886"/>
      <w:bookmarkStart w:id="146" w:name="_Toc23864"/>
      <w:r>
        <w:rPr>
          <w:rFonts w:hint="eastAsia" w:ascii="仿宋" w:hAnsi="仿宋" w:eastAsia="仿宋" w:cs="仿宋"/>
          <w:b/>
          <w:bCs/>
          <w:sz w:val="28"/>
          <w:szCs w:val="28"/>
          <w:lang w:val="en-US" w:eastAsia="zh-CN"/>
        </w:rPr>
        <w:t>9、投诉</w:t>
      </w:r>
      <w:bookmarkEnd w:id="141"/>
      <w:bookmarkEnd w:id="142"/>
      <w:bookmarkEnd w:id="143"/>
      <w:bookmarkEnd w:id="144"/>
      <w:bookmarkEnd w:id="145"/>
      <w:bookmarkEnd w:id="146"/>
    </w:p>
    <w:p w14:paraId="6F7E4F6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9.1投诉必须首先经过质疑程序。质疑人对</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答复的，可以在答复期满后十五个工作日内书面向同级财政部门提出投诉。</w:t>
      </w:r>
    </w:p>
    <w:p w14:paraId="5270856D">
      <w:pPr>
        <w:pStyle w:val="10"/>
        <w:rPr>
          <w:rFonts w:hint="eastAsia" w:ascii="仿宋" w:hAnsi="仿宋" w:eastAsia="仿宋" w:cs="仿宋"/>
        </w:rPr>
      </w:pPr>
    </w:p>
    <w:p w14:paraId="5B2777E3">
      <w:pPr>
        <w:pStyle w:val="3"/>
        <w:shd w:val="clear"/>
        <w:spacing w:line="360" w:lineRule="auto"/>
        <w:ind w:left="0" w:leftChars="0" w:firstLine="0" w:firstLineChars="0"/>
        <w:jc w:val="center"/>
        <w:outlineLvl w:val="1"/>
        <w:rPr>
          <w:rFonts w:hint="eastAsia" w:ascii="仿宋" w:hAnsi="仿宋" w:eastAsia="仿宋" w:cs="仿宋"/>
          <w:color w:val="auto"/>
          <w:sz w:val="30"/>
          <w:szCs w:val="30"/>
          <w:highlight w:val="none"/>
        </w:rPr>
      </w:pPr>
      <w:bookmarkStart w:id="147" w:name="_Toc378239352"/>
      <w:bookmarkStart w:id="148" w:name="_Toc16145"/>
      <w:bookmarkStart w:id="149" w:name="_Toc480817644"/>
      <w:bookmarkStart w:id="150" w:name="_Toc378239171"/>
      <w:bookmarkStart w:id="151" w:name="_Toc489145713"/>
      <w:bookmarkStart w:id="152" w:name="_Toc401342135"/>
      <w:bookmarkStart w:id="153" w:name="_Toc489197817"/>
      <w:bookmarkStart w:id="154" w:name="_Toc9914"/>
      <w:bookmarkStart w:id="155" w:name="_Toc378239079"/>
      <w:bookmarkStart w:id="156" w:name="_Toc144974510"/>
      <w:bookmarkStart w:id="157" w:name="_Toc246996187"/>
      <w:bookmarkStart w:id="158" w:name="_Toc247085701"/>
      <w:bookmarkStart w:id="159" w:name="_Toc5721"/>
      <w:bookmarkStart w:id="160" w:name="_Toc17348"/>
      <w:bookmarkStart w:id="161" w:name="_Toc152042318"/>
      <w:bookmarkStart w:id="162" w:name="_Toc31081"/>
      <w:bookmarkStart w:id="163" w:name="_Toc528186462"/>
      <w:bookmarkStart w:id="164" w:name="_Toc296602432"/>
      <w:bookmarkStart w:id="165" w:name="_Toc5511"/>
      <w:bookmarkStart w:id="166" w:name="_Toc152045542"/>
      <w:bookmarkStart w:id="167" w:name="_Toc488633605"/>
      <w:bookmarkStart w:id="168" w:name="_Toc246996930"/>
      <w:bookmarkStart w:id="169" w:name="_Toc4164"/>
      <w:bookmarkStart w:id="170" w:name="_Toc179632560"/>
      <w:r>
        <w:rPr>
          <w:rFonts w:hint="eastAsia" w:ascii="仿宋" w:hAnsi="仿宋" w:eastAsia="仿宋" w:cs="仿宋"/>
          <w:color w:val="auto"/>
          <w:sz w:val="30"/>
          <w:szCs w:val="30"/>
          <w:highlight w:val="none"/>
        </w:rPr>
        <w:t>二、招标文件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00EDAF3">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71" w:name="_Toc152042319"/>
      <w:bookmarkStart w:id="172" w:name="_Toc152045543"/>
      <w:bookmarkStart w:id="173" w:name="_Toc489145714"/>
      <w:bookmarkStart w:id="174" w:name="_Toc246996188"/>
      <w:bookmarkStart w:id="175" w:name="_Toc296602433"/>
      <w:bookmarkStart w:id="176" w:name="_Toc247085702"/>
      <w:bookmarkStart w:id="177" w:name="_Toc489197818"/>
      <w:bookmarkStart w:id="178" w:name="_Toc144974511"/>
      <w:bookmarkStart w:id="179" w:name="_Toc179632561"/>
      <w:bookmarkStart w:id="180" w:name="_Toc246996931"/>
      <w:bookmarkStart w:id="181" w:name="_Toc23589"/>
      <w:bookmarkStart w:id="182" w:name="_Toc25201"/>
      <w:bookmarkStart w:id="183" w:name="_Toc528186463"/>
      <w:bookmarkStart w:id="184" w:name="_Toc32708"/>
      <w:r>
        <w:rPr>
          <w:rFonts w:hint="eastAsia" w:ascii="仿宋" w:hAnsi="仿宋" w:eastAsia="仿宋" w:cs="仿宋"/>
          <w:b/>
          <w:bCs/>
          <w:sz w:val="28"/>
          <w:szCs w:val="28"/>
          <w:lang w:val="en-US" w:eastAsia="zh-CN"/>
        </w:rPr>
        <w:t>10、招标文件编制依据及适用范围</w:t>
      </w:r>
    </w:p>
    <w:p w14:paraId="3D2AD29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 本招标文件根据《中华人民共和国政府采购法》《中华人民共和国政府采购法实施条例》《政府采购货物和服务招标投标管理办法》（财政部令第87号）等有关法律法规编制，解释权属于招标人、采购代理机构。</w:t>
      </w:r>
    </w:p>
    <w:p w14:paraId="0855246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 本招标文件仅适用于本次招标公告中所叙述的项目。</w:t>
      </w:r>
    </w:p>
    <w:p w14:paraId="43E61AAE">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w:t>
      </w:r>
      <w:bookmarkEnd w:id="171"/>
      <w:bookmarkEnd w:id="172"/>
      <w:bookmarkEnd w:id="173"/>
      <w:bookmarkEnd w:id="174"/>
      <w:bookmarkEnd w:id="175"/>
      <w:bookmarkEnd w:id="176"/>
      <w:bookmarkEnd w:id="177"/>
      <w:bookmarkEnd w:id="178"/>
      <w:bookmarkEnd w:id="179"/>
      <w:bookmarkEnd w:id="180"/>
      <w:bookmarkStart w:id="185" w:name="_Toc489145715"/>
      <w:bookmarkStart w:id="186" w:name="_Toc489197819"/>
      <w:r>
        <w:rPr>
          <w:rFonts w:hint="eastAsia" w:ascii="仿宋" w:hAnsi="仿宋" w:eastAsia="仿宋" w:cs="仿宋"/>
          <w:b/>
          <w:bCs/>
          <w:sz w:val="28"/>
          <w:szCs w:val="28"/>
          <w:lang w:val="en-US" w:eastAsia="zh-CN"/>
        </w:rPr>
        <w:t>、招标文件的组成</w:t>
      </w:r>
      <w:bookmarkEnd w:id="181"/>
      <w:bookmarkEnd w:id="182"/>
      <w:bookmarkEnd w:id="183"/>
      <w:bookmarkEnd w:id="184"/>
      <w:bookmarkEnd w:id="185"/>
      <w:bookmarkEnd w:id="186"/>
    </w:p>
    <w:p w14:paraId="10E3CCB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要求提供的货物、采购过程及合同条款在招标文件中均有说明，招标文件共</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章，各章的内容如下：</w:t>
      </w:r>
    </w:p>
    <w:p w14:paraId="45095C9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招标公告</w:t>
      </w:r>
    </w:p>
    <w:p w14:paraId="59A76AF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投标人须知</w:t>
      </w:r>
    </w:p>
    <w:p w14:paraId="186A353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合同书样式及主要条款</w:t>
      </w:r>
    </w:p>
    <w:p w14:paraId="0EAF13D7">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投标文件格式</w:t>
      </w:r>
    </w:p>
    <w:p w14:paraId="3BC4AA5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采购需求</w:t>
      </w:r>
    </w:p>
    <w:p w14:paraId="3DF57DD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val="en-US" w:eastAsia="zh-CN"/>
        </w:rPr>
        <w:t xml:space="preserve">  资格审查标准</w:t>
      </w:r>
    </w:p>
    <w:p w14:paraId="27C90DF7">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评标方法</w:t>
      </w:r>
    </w:p>
    <w:p w14:paraId="3A05EFB5">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187" w:name="_Toc528186464"/>
      <w:bookmarkStart w:id="188" w:name="_Toc17717"/>
      <w:bookmarkStart w:id="189" w:name="_Toc144974512"/>
      <w:bookmarkStart w:id="190" w:name="_Toc179632562"/>
      <w:bookmarkStart w:id="191" w:name="_Toc246996189"/>
      <w:bookmarkStart w:id="192" w:name="_Toc246996932"/>
      <w:bookmarkStart w:id="193" w:name="_Toc17915"/>
      <w:bookmarkStart w:id="194" w:name="_Toc152045544"/>
      <w:bookmarkStart w:id="195" w:name="_Toc152042320"/>
      <w:bookmarkStart w:id="196" w:name="_Toc489145716"/>
      <w:bookmarkStart w:id="197" w:name="_Toc296602434"/>
      <w:bookmarkStart w:id="198" w:name="_Toc11853"/>
      <w:bookmarkStart w:id="199" w:name="_Toc247085703"/>
      <w:bookmarkStart w:id="200" w:name="_Toc489197820"/>
      <w:r>
        <w:rPr>
          <w:rFonts w:hint="eastAsia" w:ascii="仿宋" w:hAnsi="仿宋" w:eastAsia="仿宋" w:cs="仿宋"/>
          <w:b/>
          <w:bCs/>
          <w:sz w:val="28"/>
          <w:szCs w:val="28"/>
          <w:lang w:val="en-US" w:eastAsia="zh-CN"/>
        </w:rPr>
        <w:t>12、招标文件澄清、修改</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6580506">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rPr>
      </w:pPr>
      <w:bookmarkStart w:id="201" w:name="_Toc246996191"/>
      <w:bookmarkStart w:id="202" w:name="_Toc247085705"/>
      <w:bookmarkStart w:id="203" w:name="_Toc296602436"/>
      <w:bookmarkStart w:id="204" w:name="_Toc480817645"/>
      <w:bookmarkStart w:id="205" w:name="_Toc378239353"/>
      <w:bookmarkStart w:id="206" w:name="_Toc246996934"/>
      <w:bookmarkStart w:id="207" w:name="_Toc528186465"/>
      <w:bookmarkStart w:id="208" w:name="_Toc488633606"/>
      <w:bookmarkStart w:id="209" w:name="_Toc144974514"/>
      <w:bookmarkStart w:id="210" w:name="_Toc401342136"/>
      <w:bookmarkStart w:id="211" w:name="_Toc378239172"/>
      <w:bookmarkStart w:id="212" w:name="_Toc29509"/>
      <w:bookmarkStart w:id="213" w:name="_Toc489197821"/>
      <w:bookmarkStart w:id="214" w:name="_Toc378239080"/>
      <w:bookmarkStart w:id="215" w:name="_Toc152045546"/>
      <w:bookmarkStart w:id="216" w:name="_Toc152042322"/>
      <w:bookmarkStart w:id="217" w:name="_Toc489145717"/>
      <w:bookmarkStart w:id="218" w:name="_Toc179632564"/>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1 </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采购代理机构</w:t>
      </w:r>
      <w:r>
        <w:rPr>
          <w:rFonts w:hint="eastAsia" w:ascii="仿宋" w:hAnsi="仿宋" w:eastAsia="仿宋" w:cs="仿宋"/>
          <w:b w:val="0"/>
          <w:bCs w:val="0"/>
          <w:color w:val="auto"/>
          <w:sz w:val="24"/>
          <w:szCs w:val="24"/>
          <w:highlight w:val="none"/>
        </w:rPr>
        <w:t>可以对已发出的招标文件进行必要的澄清或者修改，</w:t>
      </w:r>
      <w:r>
        <w:rPr>
          <w:rFonts w:hint="eastAsia" w:ascii="仿宋" w:hAnsi="仿宋" w:eastAsia="仿宋" w:cs="仿宋"/>
          <w:b w:val="0"/>
          <w:bCs w:val="0"/>
          <w:color w:val="auto"/>
          <w:sz w:val="24"/>
          <w:szCs w:val="24"/>
          <w:highlight w:val="none"/>
          <w:lang w:val="en-US" w:eastAsia="zh-CN"/>
        </w:rPr>
        <w:t>并在</w:t>
      </w:r>
      <w:r>
        <w:rPr>
          <w:rFonts w:hint="eastAsia" w:ascii="仿宋" w:hAnsi="仿宋" w:eastAsia="仿宋" w:cs="仿宋"/>
          <w:b w:val="0"/>
          <w:bCs w:val="0"/>
          <w:color w:val="auto"/>
          <w:sz w:val="24"/>
          <w:highlight w:val="none"/>
          <w:lang w:eastAsia="zh-CN"/>
        </w:rPr>
        <w:t>政采云平台（https:www.zcygov.cn）</w:t>
      </w:r>
      <w:r>
        <w:rPr>
          <w:rFonts w:hint="eastAsia" w:ascii="仿宋" w:hAnsi="仿宋" w:eastAsia="仿宋" w:cs="仿宋"/>
          <w:b w:val="0"/>
          <w:bCs w:val="0"/>
          <w:color w:val="auto"/>
          <w:sz w:val="24"/>
          <w:highlight w:val="none"/>
          <w:lang w:val="en-US" w:eastAsia="zh-CN"/>
        </w:rPr>
        <w:t>或在云南省政府采购网（http:www.yngp.com）</w:t>
      </w:r>
      <w:r>
        <w:rPr>
          <w:rFonts w:hint="eastAsia" w:ascii="仿宋" w:hAnsi="仿宋" w:eastAsia="仿宋" w:cs="仿宋"/>
          <w:b w:val="0"/>
          <w:bCs w:val="0"/>
          <w:color w:val="auto"/>
          <w:sz w:val="24"/>
          <w:szCs w:val="24"/>
          <w:highlight w:val="none"/>
          <w:lang w:val="en-US" w:eastAsia="zh-CN"/>
        </w:rPr>
        <w:t>原公告媒体上发布澄清公告，</w:t>
      </w:r>
      <w:r>
        <w:rPr>
          <w:rFonts w:hint="eastAsia" w:ascii="仿宋" w:hAnsi="仿宋" w:eastAsia="仿宋" w:cs="仿宋"/>
          <w:b w:val="0"/>
          <w:bCs w:val="0"/>
          <w:color w:val="auto"/>
          <w:sz w:val="24"/>
          <w:szCs w:val="24"/>
          <w:highlight w:val="none"/>
        </w:rPr>
        <w:t>澄清或者修改的内容作为招标文件的组成部分。</w:t>
      </w:r>
    </w:p>
    <w:p w14:paraId="0B91F4BE">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sz w:val="24"/>
          <w:szCs w:val="24"/>
          <w:highlight w:val="none"/>
        </w:rPr>
        <w:t>澄清或者修改的内容可能影响投标文件编制的，</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采购代理机构</w:t>
      </w:r>
      <w:r>
        <w:rPr>
          <w:rFonts w:hint="eastAsia" w:ascii="仿宋" w:hAnsi="仿宋" w:eastAsia="仿宋" w:cs="仿宋"/>
          <w:b w:val="0"/>
          <w:bCs w:val="0"/>
          <w:color w:val="auto"/>
          <w:sz w:val="24"/>
          <w:szCs w:val="24"/>
          <w:highlight w:val="none"/>
        </w:rPr>
        <w:t>将在投标截止时间至少15日前，以书面</w:t>
      </w:r>
      <w:r>
        <w:rPr>
          <w:rFonts w:hint="eastAsia" w:ascii="仿宋" w:hAnsi="仿宋" w:eastAsia="仿宋" w:cs="仿宋"/>
          <w:b w:val="0"/>
          <w:bCs w:val="0"/>
          <w:color w:val="auto"/>
          <w:sz w:val="24"/>
          <w:szCs w:val="24"/>
          <w:highlight w:val="none"/>
          <w:lang w:eastAsia="zh-CN"/>
        </w:rPr>
        <w:t>（或公告）</w:t>
      </w:r>
      <w:r>
        <w:rPr>
          <w:rFonts w:hint="eastAsia" w:ascii="仿宋" w:hAnsi="仿宋" w:eastAsia="仿宋" w:cs="仿宋"/>
          <w:b w:val="0"/>
          <w:bCs w:val="0"/>
          <w:color w:val="auto"/>
          <w:sz w:val="24"/>
          <w:szCs w:val="24"/>
          <w:highlight w:val="none"/>
        </w:rPr>
        <w:t>形式通知所有接收招标文件的潜在投标人，不足15日的，将顺延投标截止之日</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并同时在</w:t>
      </w:r>
      <w:r>
        <w:rPr>
          <w:rFonts w:hint="eastAsia" w:ascii="仿宋" w:hAnsi="仿宋" w:eastAsia="仿宋" w:cs="仿宋"/>
          <w:b w:val="0"/>
          <w:bCs w:val="0"/>
          <w:color w:val="auto"/>
          <w:sz w:val="24"/>
          <w:highlight w:val="none"/>
          <w:lang w:eastAsia="zh-CN"/>
        </w:rPr>
        <w:t>政采云平台（https:www.zcygov.cn）</w:t>
      </w:r>
      <w:r>
        <w:rPr>
          <w:rFonts w:hint="eastAsia" w:ascii="仿宋" w:hAnsi="仿宋" w:eastAsia="仿宋" w:cs="仿宋"/>
          <w:b w:val="0"/>
          <w:bCs w:val="0"/>
          <w:color w:val="auto"/>
          <w:sz w:val="24"/>
          <w:highlight w:val="none"/>
          <w:lang w:val="en-US" w:eastAsia="zh-CN"/>
        </w:rPr>
        <w:t>及云南省政府采购网（http:www.yngp.com）发布澄清公告。</w:t>
      </w:r>
    </w:p>
    <w:p w14:paraId="2EA1D211">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rPr>
      </w:pPr>
    </w:p>
    <w:p w14:paraId="585A75FC">
      <w:pPr>
        <w:pStyle w:val="3"/>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sz w:val="30"/>
          <w:szCs w:val="30"/>
          <w:highlight w:val="none"/>
        </w:rPr>
      </w:pPr>
      <w:bookmarkStart w:id="219" w:name="_Toc11951"/>
      <w:bookmarkStart w:id="220" w:name="_Toc17837"/>
      <w:bookmarkStart w:id="221" w:name="_Toc27280"/>
      <w:bookmarkStart w:id="222" w:name="_Toc11877"/>
      <w:bookmarkStart w:id="223" w:name="_Toc25733"/>
      <w:bookmarkStart w:id="224" w:name="_Toc5319"/>
      <w:r>
        <w:rPr>
          <w:rFonts w:hint="eastAsia" w:ascii="仿宋" w:hAnsi="仿宋" w:eastAsia="仿宋" w:cs="仿宋"/>
          <w:color w:val="auto"/>
          <w:sz w:val="30"/>
          <w:szCs w:val="30"/>
          <w:highlight w:val="none"/>
        </w:rPr>
        <w:t>三、投标文件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D504B27">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25" w:name="_Toc528186466"/>
      <w:bookmarkStart w:id="226" w:name="_Toc19963"/>
      <w:bookmarkStart w:id="227" w:name="_Toc5023"/>
      <w:bookmarkStart w:id="228" w:name="_Toc489197822"/>
      <w:bookmarkStart w:id="229" w:name="_Toc489145718"/>
      <w:bookmarkStart w:id="230" w:name="_Toc3974"/>
      <w:r>
        <w:rPr>
          <w:rFonts w:hint="eastAsia" w:ascii="仿宋" w:hAnsi="仿宋" w:eastAsia="仿宋" w:cs="仿宋"/>
          <w:b/>
          <w:bCs/>
          <w:sz w:val="28"/>
          <w:szCs w:val="28"/>
          <w:lang w:val="en-US" w:eastAsia="zh-CN"/>
        </w:rPr>
        <w:t>13、投标文件编写注意事项</w:t>
      </w:r>
      <w:bookmarkEnd w:id="225"/>
      <w:bookmarkEnd w:id="226"/>
      <w:bookmarkEnd w:id="227"/>
      <w:bookmarkEnd w:id="228"/>
      <w:bookmarkEnd w:id="229"/>
      <w:bookmarkEnd w:id="230"/>
    </w:p>
    <w:p w14:paraId="2E0EA66D">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投标人应仔细阅读招标文件，在完全了解采购内容、技术性能要求和商务条件后，根据招标文件要求</w:t>
      </w:r>
      <w:r>
        <w:rPr>
          <w:rFonts w:hint="eastAsia" w:ascii="仿宋" w:hAnsi="仿宋" w:eastAsia="仿宋" w:cs="仿宋"/>
          <w:color w:val="auto"/>
          <w:sz w:val="24"/>
          <w:szCs w:val="24"/>
          <w:highlight w:val="none"/>
          <w:lang w:val="en-US" w:eastAsia="zh-CN"/>
        </w:rPr>
        <w:t>编制</w:t>
      </w:r>
      <w:r>
        <w:rPr>
          <w:rFonts w:hint="eastAsia" w:ascii="仿宋" w:hAnsi="仿宋" w:eastAsia="仿宋" w:cs="仿宋"/>
          <w:color w:val="auto"/>
          <w:sz w:val="24"/>
          <w:szCs w:val="24"/>
          <w:highlight w:val="none"/>
        </w:rPr>
        <w:t>投标文件。</w:t>
      </w:r>
    </w:p>
    <w:p w14:paraId="3E1E79ED">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对招标文件提出的实质性要求和条件作出响应是指投标人的投标文件必须对招标文件中规定的实质性要求和条件作出满足原要求和条件的承诺</w:t>
      </w:r>
      <w:r>
        <w:rPr>
          <w:rFonts w:hint="eastAsia" w:ascii="仿宋" w:hAnsi="仿宋" w:eastAsia="仿宋" w:cs="仿宋"/>
          <w:b/>
          <w:bCs/>
          <w:color w:val="auto"/>
          <w:sz w:val="24"/>
          <w:szCs w:val="24"/>
          <w:highlight w:val="none"/>
          <w:lang w:eastAsia="zh-CN"/>
        </w:rPr>
        <w:t>或</w:t>
      </w:r>
      <w:r>
        <w:rPr>
          <w:rFonts w:hint="eastAsia" w:ascii="仿宋" w:hAnsi="仿宋" w:eastAsia="仿宋" w:cs="仿宋"/>
          <w:b/>
          <w:bCs/>
          <w:color w:val="auto"/>
          <w:sz w:val="24"/>
          <w:szCs w:val="24"/>
          <w:highlight w:val="none"/>
        </w:rPr>
        <w:t>提供相应的证明材料，否则按无效处理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FF0000"/>
          <w:sz w:val="24"/>
          <w:szCs w:val="24"/>
          <w:highlight w:val="none"/>
          <w:lang w:val="en-US" w:eastAsia="zh-CN"/>
        </w:rPr>
        <w:t>标注“●”的条款为</w:t>
      </w:r>
      <w:r>
        <w:rPr>
          <w:rFonts w:hint="eastAsia" w:ascii="仿宋" w:hAnsi="仿宋" w:eastAsia="仿宋" w:cs="仿宋"/>
          <w:b/>
          <w:bCs/>
          <w:color w:val="FF0000"/>
          <w:sz w:val="24"/>
          <w:szCs w:val="24"/>
          <w:highlight w:val="none"/>
        </w:rPr>
        <w:t>实质性要求和条件</w:t>
      </w:r>
      <w:r>
        <w:rPr>
          <w:rFonts w:hint="eastAsia" w:ascii="仿宋" w:hAnsi="仿宋" w:eastAsia="仿宋" w:cs="仿宋"/>
          <w:b/>
          <w:bCs/>
          <w:color w:val="auto"/>
          <w:sz w:val="24"/>
          <w:szCs w:val="24"/>
          <w:highlight w:val="none"/>
        </w:rPr>
        <w:t>。</w:t>
      </w:r>
    </w:p>
    <w:p w14:paraId="310A4BAB">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提交投标文件截止时间前，潜在投标人放弃投标的，需向</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或</w:t>
      </w:r>
      <w:r>
        <w:rPr>
          <w:rFonts w:hint="eastAsia" w:ascii="仿宋" w:hAnsi="仿宋" w:eastAsia="仿宋" w:cs="仿宋"/>
          <w:b w:val="0"/>
          <w:bCs w:val="0"/>
          <w:color w:val="auto"/>
          <w:sz w:val="24"/>
          <w:szCs w:val="24"/>
          <w:highlight w:val="none"/>
          <w:lang w:eastAsia="zh-CN"/>
        </w:rPr>
        <w:t>采购代理机构</w:t>
      </w:r>
      <w:r>
        <w:rPr>
          <w:rFonts w:hint="eastAsia" w:ascii="仿宋" w:hAnsi="仿宋" w:eastAsia="仿宋" w:cs="仿宋"/>
          <w:b w:val="0"/>
          <w:bCs w:val="0"/>
          <w:color w:val="auto"/>
          <w:sz w:val="24"/>
          <w:szCs w:val="24"/>
          <w:highlight w:val="none"/>
        </w:rPr>
        <w:t>以书面形式提交放弃函。</w:t>
      </w:r>
    </w:p>
    <w:p w14:paraId="6DCB57BC">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31" w:name="_Toc489197823"/>
      <w:bookmarkStart w:id="232" w:name="_Toc528186467"/>
      <w:bookmarkStart w:id="233" w:name="_Toc15523"/>
      <w:bookmarkStart w:id="234" w:name="_Toc18290"/>
      <w:bookmarkStart w:id="235" w:name="_Toc489145719"/>
      <w:bookmarkStart w:id="236" w:name="_Toc2537"/>
      <w:r>
        <w:rPr>
          <w:rFonts w:hint="eastAsia" w:ascii="仿宋" w:hAnsi="仿宋" w:eastAsia="仿宋" w:cs="仿宋"/>
          <w:b/>
          <w:bCs/>
          <w:sz w:val="28"/>
          <w:szCs w:val="28"/>
          <w:lang w:val="en-US" w:eastAsia="zh-CN"/>
        </w:rPr>
        <w:t>14、语言文字</w:t>
      </w:r>
      <w:bookmarkEnd w:id="231"/>
      <w:bookmarkEnd w:id="232"/>
      <w:bookmarkEnd w:id="233"/>
      <w:bookmarkEnd w:id="234"/>
      <w:bookmarkEnd w:id="235"/>
      <w:bookmarkEnd w:id="236"/>
      <w:r>
        <w:rPr>
          <w:rFonts w:hint="eastAsia" w:ascii="仿宋" w:hAnsi="仿宋" w:eastAsia="仿宋" w:cs="仿宋"/>
          <w:b/>
          <w:bCs/>
          <w:sz w:val="28"/>
          <w:szCs w:val="28"/>
          <w:lang w:val="en-US" w:eastAsia="zh-CN"/>
        </w:rPr>
        <w:t>及计量单位</w:t>
      </w:r>
    </w:p>
    <w:p w14:paraId="0CD4D1CC">
      <w:pPr>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投标人的投标文件以及投标人与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就有关投标的所有来往函电统一使用中文（特别规定除外）。</w:t>
      </w:r>
    </w:p>
    <w:p w14:paraId="18156F9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投标文件中使用的计量单位除招标文件中有特殊规定外，一律使用中国法定计量单位。</w:t>
      </w:r>
    </w:p>
    <w:p w14:paraId="26EA5FF8">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37" w:name="_Toc152045547"/>
      <w:bookmarkStart w:id="238" w:name="_Toc179632565"/>
      <w:bookmarkStart w:id="239" w:name="_Toc296602437"/>
      <w:bookmarkStart w:id="240" w:name="_Toc14010"/>
      <w:bookmarkStart w:id="241" w:name="_Toc5834"/>
      <w:bookmarkStart w:id="242" w:name="_Toc246996192"/>
      <w:bookmarkStart w:id="243" w:name="_Toc152042323"/>
      <w:bookmarkStart w:id="244" w:name="_Toc489145721"/>
      <w:bookmarkStart w:id="245" w:name="_Toc246996935"/>
      <w:bookmarkStart w:id="246" w:name="_Toc29156"/>
      <w:bookmarkStart w:id="247" w:name="_Toc489197825"/>
      <w:bookmarkStart w:id="248" w:name="_Toc144974515"/>
      <w:bookmarkStart w:id="249" w:name="_Toc528186469"/>
      <w:bookmarkStart w:id="250" w:name="_Toc247085706"/>
      <w:r>
        <w:rPr>
          <w:rFonts w:hint="eastAsia" w:ascii="仿宋" w:hAnsi="仿宋" w:eastAsia="仿宋" w:cs="仿宋"/>
          <w:b/>
          <w:bCs/>
          <w:sz w:val="28"/>
          <w:szCs w:val="28"/>
          <w:lang w:val="en-US" w:eastAsia="zh-CN"/>
        </w:rPr>
        <w:t>15、投标文件的组成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D99726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投标人编写的投标文件应按第四章《投标文件格式》要求</w:t>
      </w:r>
      <w:r>
        <w:rPr>
          <w:rFonts w:hint="eastAsia" w:ascii="仿宋" w:hAnsi="仿宋" w:eastAsia="仿宋" w:cs="仿宋"/>
          <w:color w:val="auto"/>
          <w:sz w:val="24"/>
          <w:szCs w:val="24"/>
          <w:highlight w:val="none"/>
          <w:lang w:val="en-US" w:eastAsia="zh-CN"/>
        </w:rPr>
        <w:t>编制</w:t>
      </w:r>
      <w:r>
        <w:rPr>
          <w:rFonts w:hint="eastAsia" w:ascii="仿宋" w:hAnsi="仿宋" w:eastAsia="仿宋" w:cs="仿宋"/>
          <w:color w:val="auto"/>
          <w:sz w:val="24"/>
          <w:szCs w:val="24"/>
          <w:highlight w:val="none"/>
        </w:rPr>
        <w:t>填写。有关文件的提交如未特别注明需提供原件的，可提供复印件或扫描件。投标人同时投多个标段（若分标段时）的，投标文件应按标段分别编制</w:t>
      </w:r>
      <w:r>
        <w:rPr>
          <w:rFonts w:hint="eastAsia" w:ascii="仿宋" w:hAnsi="仿宋" w:eastAsia="仿宋" w:cs="仿宋"/>
          <w:color w:val="auto"/>
          <w:sz w:val="24"/>
          <w:szCs w:val="24"/>
          <w:highlight w:val="none"/>
          <w:lang w:val="en-US" w:eastAsia="zh-CN"/>
        </w:rPr>
        <w:t>并加密提交</w:t>
      </w:r>
      <w:r>
        <w:rPr>
          <w:rFonts w:hint="eastAsia" w:ascii="仿宋" w:hAnsi="仿宋" w:eastAsia="仿宋" w:cs="仿宋"/>
          <w:color w:val="auto"/>
          <w:sz w:val="24"/>
          <w:szCs w:val="24"/>
          <w:highlight w:val="none"/>
        </w:rPr>
        <w:t>。</w:t>
      </w:r>
    </w:p>
    <w:p w14:paraId="54E2556F">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51" w:name="_Toc17304"/>
      <w:bookmarkStart w:id="252" w:name="_Toc489197826"/>
      <w:bookmarkStart w:id="253" w:name="_Toc10997"/>
      <w:bookmarkStart w:id="254" w:name="_Toc528186470"/>
      <w:bookmarkStart w:id="255" w:name="_Toc489145722"/>
      <w:bookmarkStart w:id="256" w:name="_Toc11820"/>
      <w:r>
        <w:rPr>
          <w:rFonts w:hint="eastAsia" w:ascii="仿宋" w:hAnsi="仿宋" w:eastAsia="仿宋" w:cs="仿宋"/>
          <w:b/>
          <w:bCs/>
          <w:sz w:val="28"/>
          <w:szCs w:val="28"/>
          <w:lang w:val="en-US" w:eastAsia="zh-CN"/>
        </w:rPr>
        <w:t>16、投标文件的格式要求</w:t>
      </w:r>
      <w:bookmarkEnd w:id="251"/>
      <w:bookmarkEnd w:id="252"/>
      <w:bookmarkEnd w:id="253"/>
      <w:bookmarkEnd w:id="254"/>
      <w:bookmarkEnd w:id="255"/>
      <w:bookmarkEnd w:id="256"/>
    </w:p>
    <w:p w14:paraId="1CFC2F5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投标人应按第四章《投标文件格式》完整地</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w:t>
      </w:r>
    </w:p>
    <w:p w14:paraId="176396BD">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57" w:name="_Toc489145723"/>
      <w:bookmarkStart w:id="258" w:name="_Toc489197827"/>
      <w:bookmarkStart w:id="259" w:name="_Toc29824"/>
      <w:bookmarkStart w:id="260" w:name="_Toc10823"/>
      <w:bookmarkStart w:id="261" w:name="_Toc16374"/>
      <w:bookmarkStart w:id="262" w:name="_Toc528186471"/>
      <w:r>
        <w:rPr>
          <w:rFonts w:hint="eastAsia" w:ascii="仿宋" w:hAnsi="仿宋" w:eastAsia="仿宋" w:cs="仿宋"/>
          <w:b/>
          <w:bCs/>
          <w:sz w:val="28"/>
          <w:szCs w:val="28"/>
          <w:lang w:val="en-US" w:eastAsia="zh-CN"/>
        </w:rPr>
        <w:t>17、投标有效期</w:t>
      </w:r>
      <w:bookmarkEnd w:id="257"/>
      <w:bookmarkEnd w:id="258"/>
      <w:bookmarkEnd w:id="259"/>
      <w:bookmarkEnd w:id="260"/>
      <w:bookmarkEnd w:id="261"/>
      <w:bookmarkEnd w:id="262"/>
    </w:p>
    <w:p w14:paraId="3B7CB87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263" w:name="_Toc152042325"/>
      <w:bookmarkStart w:id="264" w:name="_Toc246996937"/>
      <w:bookmarkStart w:id="265" w:name="_Toc152045549"/>
      <w:bookmarkStart w:id="266" w:name="_Toc246996194"/>
      <w:bookmarkStart w:id="267" w:name="_Toc144974517"/>
      <w:bookmarkStart w:id="268" w:name="_Toc296602439"/>
      <w:bookmarkStart w:id="269" w:name="_Toc179632567"/>
      <w:bookmarkStart w:id="270" w:name="_Toc247085708"/>
      <w:r>
        <w:rPr>
          <w:rFonts w:hint="eastAsia" w:ascii="仿宋" w:hAnsi="仿宋" w:eastAsia="仿宋" w:cs="仿宋"/>
          <w:color w:val="auto"/>
          <w:sz w:val="24"/>
          <w:szCs w:val="24"/>
          <w:highlight w:val="none"/>
        </w:rPr>
        <w:t>17.1在</w:t>
      </w:r>
      <w:r>
        <w:rPr>
          <w:rFonts w:hint="eastAsia" w:ascii="仿宋" w:hAnsi="仿宋" w:eastAsia="仿宋" w:cs="仿宋"/>
          <w:b/>
          <w:bCs/>
          <w:color w:val="auto"/>
          <w:sz w:val="24"/>
          <w:szCs w:val="24"/>
          <w:highlight w:val="none"/>
        </w:rPr>
        <w:t>《投标</w:t>
      </w:r>
      <w:bookmarkEnd w:id="263"/>
      <w:bookmarkEnd w:id="264"/>
      <w:bookmarkEnd w:id="265"/>
      <w:bookmarkEnd w:id="266"/>
      <w:bookmarkEnd w:id="267"/>
      <w:bookmarkEnd w:id="268"/>
      <w:bookmarkEnd w:id="269"/>
      <w:bookmarkEnd w:id="270"/>
      <w:r>
        <w:rPr>
          <w:rFonts w:hint="eastAsia" w:ascii="仿宋" w:hAnsi="仿宋" w:eastAsia="仿宋" w:cs="仿宋"/>
          <w:b/>
          <w:bCs/>
          <w:color w:val="auto"/>
          <w:sz w:val="24"/>
          <w:szCs w:val="24"/>
          <w:highlight w:val="none"/>
        </w:rPr>
        <w:t>人须知前附表》</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有效期内，投标人不得要求撤销或修改其投标文件。</w:t>
      </w:r>
    </w:p>
    <w:p w14:paraId="29170DB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17.2因特殊情况需要延长投标文件有效期的，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以书面形式通知所有投标人延长有效期。投标人同意延长的，应相应延长其投标文件</w:t>
      </w:r>
      <w:r>
        <w:rPr>
          <w:rFonts w:hint="eastAsia" w:ascii="仿宋" w:hAnsi="仿宋" w:eastAsia="仿宋" w:cs="仿宋"/>
          <w:color w:val="auto"/>
          <w:sz w:val="24"/>
          <w:szCs w:val="24"/>
          <w:highlight w:val="none"/>
          <w:lang w:eastAsia="zh-CN"/>
        </w:rPr>
        <w:t>中的</w:t>
      </w:r>
      <w:r>
        <w:rPr>
          <w:rFonts w:hint="eastAsia" w:ascii="仿宋" w:hAnsi="仿宋" w:eastAsia="仿宋" w:cs="仿宋"/>
          <w:color w:val="auto"/>
          <w:sz w:val="24"/>
          <w:szCs w:val="24"/>
          <w:highlight w:val="none"/>
        </w:rPr>
        <w:t>所有内容及投标保证金的有效期，但不得要求或被允许修改或撤销其投标文件；投标人拒绝延长的，其投标文件失效，但投标人有权收回其投标保证金。</w:t>
      </w:r>
    </w:p>
    <w:p w14:paraId="70D92D80">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71" w:name="_Toc1477"/>
      <w:bookmarkStart w:id="272" w:name="_Toc89"/>
      <w:bookmarkStart w:id="273" w:name="_Toc489197828"/>
      <w:bookmarkStart w:id="274" w:name="_Toc489145724"/>
      <w:bookmarkStart w:id="275" w:name="_Toc8378"/>
      <w:bookmarkStart w:id="276" w:name="_Toc528186472"/>
      <w:r>
        <w:rPr>
          <w:rFonts w:hint="eastAsia" w:ascii="仿宋" w:hAnsi="仿宋" w:eastAsia="仿宋" w:cs="仿宋"/>
          <w:b/>
          <w:bCs/>
          <w:sz w:val="28"/>
          <w:szCs w:val="28"/>
          <w:lang w:val="en-US" w:eastAsia="zh-CN"/>
        </w:rPr>
        <w:t>18、投标保证金</w:t>
      </w:r>
      <w:bookmarkEnd w:id="271"/>
      <w:bookmarkEnd w:id="272"/>
      <w:bookmarkEnd w:id="273"/>
      <w:bookmarkEnd w:id="274"/>
      <w:bookmarkEnd w:id="275"/>
      <w:bookmarkEnd w:id="276"/>
    </w:p>
    <w:p w14:paraId="123AE96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277" w:name="_Toc179632568"/>
      <w:bookmarkStart w:id="278" w:name="_Toc247085709"/>
      <w:bookmarkStart w:id="279" w:name="_Toc246996195"/>
      <w:bookmarkStart w:id="280" w:name="_Toc246996938"/>
      <w:bookmarkStart w:id="281" w:name="_Toc144974518"/>
      <w:bookmarkStart w:id="282" w:name="_Toc296602440"/>
      <w:bookmarkStart w:id="283" w:name="_Toc152045550"/>
      <w:bookmarkStart w:id="284" w:name="_Toc152042326"/>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投标人应按</w:t>
      </w:r>
      <w:r>
        <w:rPr>
          <w:rFonts w:hint="eastAsia" w:ascii="仿宋" w:hAnsi="仿宋" w:eastAsia="仿宋" w:cs="仿宋"/>
          <w:b/>
          <w:bCs/>
          <w:color w:val="auto"/>
          <w:sz w:val="24"/>
          <w:szCs w:val="24"/>
          <w:highlight w:val="none"/>
        </w:rPr>
        <w:t>《投标人须知前附表》</w:t>
      </w:r>
      <w:bookmarkEnd w:id="277"/>
      <w:bookmarkEnd w:id="278"/>
      <w:bookmarkEnd w:id="279"/>
      <w:bookmarkEnd w:id="280"/>
      <w:bookmarkEnd w:id="281"/>
      <w:bookmarkEnd w:id="282"/>
      <w:bookmarkEnd w:id="283"/>
      <w:bookmarkEnd w:id="284"/>
      <w:r>
        <w:rPr>
          <w:rFonts w:hint="eastAsia" w:ascii="仿宋" w:hAnsi="仿宋" w:eastAsia="仿宋" w:cs="仿宋"/>
          <w:color w:val="auto"/>
          <w:sz w:val="24"/>
          <w:szCs w:val="24"/>
          <w:highlight w:val="none"/>
        </w:rPr>
        <w:t>规定的金额、形式</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投标保证金，投标人未按照招标文件要求提交投标保证金的，投标无效。</w:t>
      </w:r>
    </w:p>
    <w:p w14:paraId="4B6C35CD">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val="en-US" w:eastAsia="zh-CN"/>
        </w:rPr>
      </w:pPr>
      <w:bookmarkStart w:id="285" w:name="_Toc8756"/>
      <w:bookmarkStart w:id="286" w:name="_Toc489145725"/>
      <w:bookmarkStart w:id="287" w:name="_Toc7128"/>
      <w:bookmarkStart w:id="288" w:name="_Toc20948"/>
      <w:bookmarkStart w:id="289" w:name="_Toc528186473"/>
      <w:bookmarkStart w:id="290" w:name="_Toc489197829"/>
      <w:r>
        <w:rPr>
          <w:rFonts w:hint="eastAsia" w:ascii="仿宋" w:hAnsi="仿宋" w:eastAsia="仿宋" w:cs="仿宋"/>
          <w:b/>
          <w:bCs/>
          <w:sz w:val="28"/>
          <w:szCs w:val="28"/>
          <w:highlight w:val="none"/>
          <w:lang w:val="en-US" w:eastAsia="zh-CN"/>
        </w:rPr>
        <w:t>19、投标文件的编制</w:t>
      </w:r>
      <w:bookmarkEnd w:id="285"/>
      <w:bookmarkEnd w:id="286"/>
      <w:bookmarkEnd w:id="287"/>
      <w:bookmarkEnd w:id="288"/>
      <w:bookmarkEnd w:id="289"/>
      <w:bookmarkEnd w:id="290"/>
      <w:bookmarkStart w:id="291" w:name="_Toc296602442"/>
      <w:r>
        <w:rPr>
          <w:rFonts w:hint="eastAsia" w:ascii="仿宋" w:hAnsi="仿宋" w:eastAsia="仿宋" w:cs="仿宋"/>
          <w:b/>
          <w:bCs/>
          <w:sz w:val="28"/>
          <w:szCs w:val="28"/>
          <w:highlight w:val="none"/>
          <w:lang w:val="en-US" w:eastAsia="zh-CN"/>
        </w:rPr>
        <w:t>及提交</w:t>
      </w:r>
    </w:p>
    <w:bookmarkEnd w:id="291"/>
    <w:p w14:paraId="1DE2C27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292" w:name="_Toc489197830"/>
      <w:bookmarkStart w:id="293" w:name="_Toc489145726"/>
      <w:bookmarkStart w:id="294" w:name="_Toc528186474"/>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投标文件签署：投标文件编制完成后须在指定位置加盖投标人</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公章，法定代表人或委托代理人须在指定位置</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签名或签章。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联合体参加投标的除格式要求外，可由联合体牵头单位签署</w:t>
      </w:r>
      <w:r>
        <w:rPr>
          <w:rFonts w:hint="eastAsia" w:ascii="仿宋" w:hAnsi="仿宋" w:eastAsia="仿宋" w:cs="仿宋"/>
          <w:color w:val="auto"/>
          <w:sz w:val="24"/>
          <w:szCs w:val="24"/>
          <w:highlight w:val="none"/>
          <w:lang w:eastAsia="zh-CN"/>
        </w:rPr>
        <w:t>）</w:t>
      </w:r>
    </w:p>
    <w:p w14:paraId="06C9960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19.2</w:t>
      </w:r>
      <w:r>
        <w:rPr>
          <w:rFonts w:hint="eastAsia" w:ascii="仿宋" w:hAnsi="仿宋" w:eastAsia="仿宋" w:cs="仿宋"/>
          <w:color w:val="auto"/>
          <w:sz w:val="24"/>
          <w:szCs w:val="24"/>
          <w:highlight w:val="none"/>
        </w:rPr>
        <w:t xml:space="preserve"> 按“政采云”要求，上传电子投标文件壹份。投标人应安装“政采云”投标客户端，根据采购文件格式编制投标文件，生成加密标书后进行上传。</w:t>
      </w:r>
    </w:p>
    <w:p w14:paraId="537214D7">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投标文件中提供的资料、关键内容必须清晰可辨，若出现字迹潦草、表达不清、未按要求填写而导致非唯一理解，视为未实质性响应招标采购文件，投标人投标文件将按无效处理。</w:t>
      </w:r>
    </w:p>
    <w:p w14:paraId="055879C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19.4 </w:t>
      </w:r>
      <w:r>
        <w:rPr>
          <w:rFonts w:hint="eastAsia" w:ascii="仿宋" w:hAnsi="仿宋" w:eastAsia="仿宋" w:cs="仿宋"/>
          <w:sz w:val="24"/>
          <w:highlight w:val="none"/>
        </w:rPr>
        <w:t>投标截止时间后</w:t>
      </w:r>
      <w:r>
        <w:rPr>
          <w:rFonts w:hint="eastAsia" w:ascii="仿宋" w:hAnsi="仿宋" w:eastAsia="仿宋" w:cs="仿宋"/>
          <w:sz w:val="24"/>
          <w:highlight w:val="none"/>
          <w:lang w:val="en-US" w:eastAsia="zh-CN"/>
        </w:rPr>
        <w:t>提交</w:t>
      </w:r>
      <w:r>
        <w:rPr>
          <w:rFonts w:hint="eastAsia" w:ascii="仿宋" w:hAnsi="仿宋" w:eastAsia="仿宋" w:cs="仿宋"/>
          <w:sz w:val="24"/>
          <w:highlight w:val="none"/>
        </w:rPr>
        <w:t>的投标报价或其他实质性内容修正的函件和增加的任何承诺不作为评标的依据。</w:t>
      </w:r>
    </w:p>
    <w:p w14:paraId="6380B3F7">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295" w:name="_Toc16360"/>
      <w:bookmarkStart w:id="296" w:name="_Toc6763"/>
      <w:bookmarkStart w:id="297" w:name="_Toc13058"/>
      <w:r>
        <w:rPr>
          <w:rFonts w:hint="eastAsia" w:ascii="仿宋" w:hAnsi="仿宋" w:eastAsia="仿宋" w:cs="仿宋"/>
          <w:b/>
          <w:bCs/>
          <w:sz w:val="28"/>
          <w:szCs w:val="28"/>
          <w:lang w:val="en-US" w:eastAsia="zh-CN"/>
        </w:rPr>
        <w:t>20、投标报价和报价货币</w:t>
      </w:r>
      <w:bookmarkEnd w:id="292"/>
      <w:bookmarkEnd w:id="293"/>
      <w:bookmarkEnd w:id="294"/>
      <w:bookmarkEnd w:id="295"/>
      <w:bookmarkEnd w:id="296"/>
      <w:bookmarkEnd w:id="297"/>
      <w:bookmarkStart w:id="298" w:name="_Toc432194837"/>
      <w:bookmarkStart w:id="299" w:name="_Toc383175485"/>
      <w:bookmarkStart w:id="300" w:name="_Toc329810197"/>
      <w:bookmarkStart w:id="301" w:name="_Toc432106486"/>
      <w:bookmarkStart w:id="302" w:name="_Toc383175287"/>
      <w:bookmarkStart w:id="303" w:name="_Toc482343737"/>
      <w:bookmarkStart w:id="304" w:name="_Toc470507051"/>
      <w:bookmarkStart w:id="305" w:name="_Toc383175063"/>
      <w:bookmarkStart w:id="306" w:name="_Toc86124056"/>
    </w:p>
    <w:bookmarkEnd w:id="298"/>
    <w:bookmarkEnd w:id="299"/>
    <w:bookmarkEnd w:id="300"/>
    <w:bookmarkEnd w:id="301"/>
    <w:bookmarkEnd w:id="302"/>
    <w:bookmarkEnd w:id="303"/>
    <w:bookmarkEnd w:id="304"/>
    <w:bookmarkEnd w:id="305"/>
    <w:bookmarkEnd w:id="306"/>
    <w:p w14:paraId="4788DD81">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投标人必须对所投标</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段内所有内容作出完整的投标报价，不得缺项、漏项，否则投标文件将按无效处理。</w:t>
      </w:r>
    </w:p>
    <w:p w14:paraId="5009217A">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投标报价包括但不限于</w:t>
      </w:r>
      <w:r>
        <w:rPr>
          <w:rFonts w:hint="eastAsia" w:ascii="仿宋" w:hAnsi="仿宋" w:eastAsia="仿宋" w:cs="仿宋"/>
          <w:color w:val="auto"/>
          <w:sz w:val="24"/>
          <w:szCs w:val="24"/>
          <w:highlight w:val="none"/>
          <w:lang w:val="en-US" w:eastAsia="zh-CN"/>
        </w:rPr>
        <w:t>设备送达招标人指定地点的统一交货价并包含货物的出厂价、配套货物、设备验收开始使用后至保质期内正常、连续地使用所必需的备品备件、随机必需的辅助专用工具、运杂费、货物安装调试、检验等、技术服务费、安装费、货物运输保险、保证期内缺陷的修复补救费用、市场价格变化的风险费用、利润、税金、中标服务费等完成本项目采购需求全部费用的总和</w:t>
      </w:r>
      <w:r>
        <w:rPr>
          <w:rFonts w:hint="eastAsia" w:ascii="仿宋" w:hAnsi="仿宋" w:eastAsia="仿宋" w:cs="仿宋"/>
          <w:color w:val="auto"/>
          <w:sz w:val="24"/>
          <w:szCs w:val="24"/>
          <w:highlight w:val="none"/>
        </w:rPr>
        <w:t>。该报价应考虑市场风险、政策性风险、汇率风险等因素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应符合市场行情并能保证投标人完成履行合同所需的一切工作。合同一旦签订，投标报价在合同实施期间将不因市场价格等的变化而调整。</w:t>
      </w:r>
    </w:p>
    <w:p w14:paraId="54C8509A">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投标人应依据招标文件的要求及有关资料，执行国家或行业现行技术、经济标准、定额及规范，根据现行市场价格自行测算出满足采购要求的货物的投标报价。本次报价包括完成本项目</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的一切费用。</w:t>
      </w:r>
    </w:p>
    <w:p w14:paraId="6D7E7FCB">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rPr>
        <w:t>投标人不得哄抬报价，也不应低于成本价报价。评标委员会认为投标人的投标报价或者某些分项报价明显不合理或者低于成本，有可能影响商品质量和不能诚信履约的，将要求其在规定的期限内提交相关证明材料予以解释说明；投标人不能证明其报价合理性的，评标委员会将认定投标</w:t>
      </w:r>
      <w:r>
        <w:rPr>
          <w:rFonts w:hint="eastAsia" w:ascii="仿宋" w:hAnsi="仿宋" w:eastAsia="仿宋" w:cs="仿宋"/>
          <w:color w:val="auto"/>
          <w:sz w:val="24"/>
          <w:szCs w:val="24"/>
          <w:highlight w:val="none"/>
          <w:lang w:eastAsia="zh-CN"/>
        </w:rPr>
        <w:t>人的</w:t>
      </w:r>
      <w:r>
        <w:rPr>
          <w:rFonts w:hint="eastAsia" w:ascii="仿宋" w:hAnsi="仿宋" w:eastAsia="仿宋" w:cs="仿宋"/>
          <w:color w:val="auto"/>
          <w:sz w:val="24"/>
          <w:szCs w:val="24"/>
          <w:highlight w:val="none"/>
        </w:rPr>
        <w:t>投标文件无效。</w:t>
      </w:r>
    </w:p>
    <w:p w14:paraId="7E1C5698">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投标人应保证其提供的货物</w:t>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rPr>
        <w:t>全新的，投标人应保证其提供的货物在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使用期间不受第三方可能提出的所有权、用益物权、担保物权、占有等一切涉及物权及知识产权、商标权、专利权、著作权等相关权利的起诉。</w:t>
      </w:r>
    </w:p>
    <w:p w14:paraId="2B189074">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报价货币为人民币。</w:t>
      </w:r>
    </w:p>
    <w:p w14:paraId="795205ED">
      <w:pPr>
        <w:pStyle w:val="3"/>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sz w:val="30"/>
          <w:szCs w:val="30"/>
          <w:highlight w:val="none"/>
        </w:rPr>
      </w:pPr>
      <w:bookmarkStart w:id="307" w:name="_Toc488633607"/>
      <w:bookmarkStart w:id="308" w:name="_Toc528186475"/>
      <w:bookmarkStart w:id="309" w:name="_Toc489197831"/>
      <w:bookmarkStart w:id="310" w:name="_Toc12423"/>
      <w:bookmarkStart w:id="311" w:name="_Toc6164"/>
      <w:bookmarkStart w:id="312" w:name="_Toc489145727"/>
      <w:bookmarkStart w:id="313" w:name="_Toc11404"/>
      <w:bookmarkStart w:id="314" w:name="_Toc27291"/>
      <w:bookmarkStart w:id="315" w:name="_Toc14345"/>
      <w:bookmarkStart w:id="316" w:name="_Toc27900"/>
      <w:r>
        <w:rPr>
          <w:rFonts w:hint="eastAsia" w:ascii="仿宋" w:hAnsi="仿宋" w:eastAsia="仿宋" w:cs="仿宋"/>
          <w:color w:val="auto"/>
          <w:sz w:val="30"/>
          <w:szCs w:val="30"/>
          <w:highlight w:val="none"/>
        </w:rPr>
        <w:t>四、投标</w:t>
      </w:r>
      <w:bookmarkEnd w:id="307"/>
      <w:bookmarkEnd w:id="308"/>
      <w:bookmarkEnd w:id="309"/>
      <w:bookmarkEnd w:id="310"/>
      <w:bookmarkEnd w:id="311"/>
      <w:bookmarkEnd w:id="312"/>
      <w:bookmarkEnd w:id="313"/>
      <w:bookmarkEnd w:id="314"/>
      <w:bookmarkEnd w:id="315"/>
      <w:bookmarkEnd w:id="316"/>
    </w:p>
    <w:p w14:paraId="0A2E1C39">
      <w:pPr>
        <w:pStyle w:val="4"/>
        <w:keepNext/>
        <w:keepLines/>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bookmarkStart w:id="317" w:name="_Toc528186476"/>
      <w:bookmarkStart w:id="318" w:name="_Toc489197832"/>
      <w:bookmarkStart w:id="319" w:name="_Toc489145728"/>
      <w:bookmarkStart w:id="320" w:name="_Toc12022"/>
      <w:bookmarkStart w:id="321" w:name="_Toc6233"/>
      <w:r>
        <w:rPr>
          <w:rFonts w:hint="eastAsia" w:ascii="仿宋" w:hAnsi="仿宋" w:eastAsia="仿宋" w:cs="仿宋"/>
          <w:b/>
          <w:bCs/>
          <w:sz w:val="28"/>
          <w:szCs w:val="28"/>
          <w:lang w:val="en-US" w:eastAsia="zh-CN"/>
        </w:rPr>
        <w:t>21、投标文</w:t>
      </w:r>
      <w:bookmarkStart w:id="322" w:name="_Toc378239173"/>
      <w:bookmarkStart w:id="323" w:name="_Toc4707"/>
      <w:bookmarkStart w:id="324" w:name="_Toc378239081"/>
      <w:bookmarkStart w:id="325" w:name="_Toc401342137"/>
      <w:bookmarkStart w:id="326" w:name="_Toc378239354"/>
      <w:bookmarkStart w:id="327" w:name="_Toc480817646"/>
      <w:bookmarkStart w:id="328" w:name="_Toc296602443"/>
      <w:r>
        <w:rPr>
          <w:rFonts w:hint="eastAsia" w:ascii="仿宋" w:hAnsi="仿宋" w:eastAsia="仿宋" w:cs="仿宋"/>
          <w:b/>
          <w:bCs/>
          <w:sz w:val="28"/>
          <w:szCs w:val="28"/>
          <w:lang w:val="en-US" w:eastAsia="zh-CN"/>
        </w:rPr>
        <w:t>件的密封</w:t>
      </w:r>
      <w:bookmarkEnd w:id="322"/>
      <w:bookmarkEnd w:id="323"/>
      <w:bookmarkEnd w:id="324"/>
      <w:bookmarkEnd w:id="325"/>
      <w:bookmarkEnd w:id="326"/>
      <w:bookmarkEnd w:id="327"/>
      <w:bookmarkEnd w:id="328"/>
      <w:r>
        <w:rPr>
          <w:rFonts w:hint="eastAsia" w:ascii="仿宋" w:hAnsi="仿宋" w:eastAsia="仿宋" w:cs="仿宋"/>
          <w:b/>
          <w:bCs/>
          <w:sz w:val="28"/>
          <w:szCs w:val="28"/>
          <w:lang w:val="en-US" w:eastAsia="zh-CN"/>
        </w:rPr>
        <w:t>和</w:t>
      </w:r>
      <w:bookmarkEnd w:id="317"/>
      <w:bookmarkEnd w:id="318"/>
      <w:bookmarkEnd w:id="319"/>
      <w:bookmarkEnd w:id="320"/>
      <w:bookmarkEnd w:id="321"/>
      <w:bookmarkStart w:id="329" w:name="_Toc296602444"/>
      <w:bookmarkStart w:id="330" w:name="_Toc152042332"/>
      <w:bookmarkStart w:id="331" w:name="_Toc246996200"/>
      <w:bookmarkStart w:id="332" w:name="_Toc179632574"/>
      <w:bookmarkStart w:id="333" w:name="_Toc152045556"/>
      <w:bookmarkStart w:id="334" w:name="_Toc246996943"/>
      <w:bookmarkStart w:id="335" w:name="_Toc144974524"/>
      <w:bookmarkStart w:id="336" w:name="_Toc247085714"/>
      <w:r>
        <w:rPr>
          <w:rFonts w:hint="eastAsia" w:ascii="仿宋" w:hAnsi="仿宋" w:eastAsia="仿宋" w:cs="仿宋"/>
          <w:b/>
          <w:bCs/>
          <w:sz w:val="28"/>
          <w:szCs w:val="28"/>
          <w:lang w:val="en-US" w:eastAsia="zh-CN"/>
        </w:rPr>
        <w:t>解密</w:t>
      </w:r>
    </w:p>
    <w:bookmarkEnd w:id="329"/>
    <w:bookmarkEnd w:id="330"/>
    <w:bookmarkEnd w:id="331"/>
    <w:bookmarkEnd w:id="332"/>
    <w:bookmarkEnd w:id="333"/>
    <w:bookmarkEnd w:id="334"/>
    <w:bookmarkEnd w:id="335"/>
    <w:bookmarkEnd w:id="336"/>
    <w:p w14:paraId="33565102">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bookmarkStart w:id="337" w:name="_Toc528186477"/>
      <w:bookmarkStart w:id="338" w:name="_Toc489145729"/>
      <w:bookmarkStart w:id="339" w:name="_Toc489197833"/>
      <w:bookmarkStart w:id="340" w:name="_Toc152045557"/>
      <w:bookmarkStart w:id="341" w:name="_Toc152042333"/>
      <w:bookmarkStart w:id="342" w:name="_Toc179632575"/>
      <w:bookmarkStart w:id="343" w:name="_Toc246996201"/>
      <w:bookmarkStart w:id="344" w:name="_Toc246996944"/>
      <w:bookmarkStart w:id="345" w:name="_Toc247085715"/>
      <w:bookmarkStart w:id="346" w:name="_Toc144974525"/>
      <w:r>
        <w:rPr>
          <w:rFonts w:hint="eastAsia" w:ascii="仿宋" w:hAnsi="仿宋" w:eastAsia="仿宋" w:cs="仿宋"/>
          <w:color w:val="auto"/>
          <w:sz w:val="24"/>
          <w:szCs w:val="24"/>
          <w:highlight w:val="none"/>
        </w:rPr>
        <w:t>21.1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投标文件的密封：投标人应通</w:t>
      </w:r>
      <w:r>
        <w:rPr>
          <w:rFonts w:hint="eastAsia" w:ascii="仿宋" w:hAnsi="仿宋" w:eastAsia="仿宋" w:cs="仿宋"/>
          <w:b w:val="0"/>
          <w:bCs w:val="0"/>
          <w:color w:val="auto"/>
          <w:sz w:val="24"/>
          <w:szCs w:val="24"/>
          <w:highlight w:val="none"/>
        </w:rPr>
        <w:t>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highlight w:val="none"/>
          <w:lang w:eastAsia="zh-CN"/>
        </w:rPr>
        <w:t>政采云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highlight w:val="none"/>
          <w:lang w:eastAsia="zh-CN"/>
        </w:rPr>
        <w:t>平台</w:t>
      </w:r>
      <w:r>
        <w:rPr>
          <w:rFonts w:hint="eastAsia" w:ascii="仿宋" w:hAnsi="仿宋" w:eastAsia="仿宋" w:cs="仿宋"/>
          <w:color w:val="auto"/>
          <w:sz w:val="24"/>
          <w:szCs w:val="24"/>
          <w:highlight w:val="none"/>
        </w:rPr>
        <w:t>提交加密的电子投标文件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"http://www.ynggzyxx.gov.cn/zfcg-tb）提交的电子投标文件进行加密。"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t>
      </w:r>
      <w:bookmarkStart w:id="347" w:name="_Toc17219"/>
      <w:bookmarkStart w:id="348" w:name="_Toc34"/>
      <w:bookmarkStart w:id="349" w:name="_Toc1260"/>
      <w:r>
        <w:rPr>
          <w:rFonts w:hint="eastAsia" w:ascii="仿宋" w:hAnsi="仿宋" w:eastAsia="仿宋" w:cs="仿宋"/>
          <w:color w:val="auto"/>
          <w:sz w:val="24"/>
          <w:szCs w:val="24"/>
          <w:highlight w:val="none"/>
        </w:rPr>
        <w:fldChar w:fldCharType="end"/>
      </w:r>
    </w:p>
    <w:p w14:paraId="20ACB4E6">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网上开标及远程解密：</w:t>
      </w:r>
    </w:p>
    <w:p w14:paraId="2E56D311">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（1）投标人登录</w:t>
      </w:r>
      <w:r>
        <w:rPr>
          <w:rFonts w:hint="eastAsia" w:ascii="仿宋" w:hAnsi="仿宋" w:eastAsia="仿宋" w:cs="仿宋"/>
          <w:b w:val="0"/>
          <w:bCs w:val="0"/>
          <w:color w:val="auto"/>
          <w:sz w:val="24"/>
          <w:highlight w:val="none"/>
          <w:lang w:eastAsia="zh-CN"/>
        </w:rPr>
        <w:t>政采云平台</w:t>
      </w:r>
      <w:r>
        <w:rPr>
          <w:rFonts w:hint="eastAsia" w:ascii="仿宋" w:hAnsi="仿宋" w:eastAsia="仿宋" w:cs="仿宋"/>
          <w:color w:val="auto"/>
          <w:sz w:val="24"/>
          <w:szCs w:val="24"/>
          <w:highlight w:val="none"/>
        </w:rPr>
        <w:t>，完成远程解密、查看开标一览表等相关操作。本项目解密时间为</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，若投标人未在规定时间完成投标文件解密，则视为无效投标，不再进入评标阶段。</w:t>
      </w:r>
    </w:p>
    <w:p w14:paraId="153A33BD">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（2）因开标系统、开标现场网络、设备及其他特殊原因，导致不能正常解密投标文件的，经核实和上报相关部门同意后，可再次下达网上解密指令来延长解密时间。</w:t>
      </w:r>
    </w:p>
    <w:p w14:paraId="591D085C">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（3）开标过程中如有问题，可以在线提出异议，由代理机构给予回复。在规定的异议询问时间内未提出异议的，则视为对开标结果无异议。</w:t>
      </w:r>
    </w:p>
    <w:p w14:paraId="174948FC">
      <w:pPr>
        <w:pStyle w:val="4"/>
        <w:keepNext/>
        <w:keepLines/>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22、投标文件的提交</w:t>
      </w:r>
      <w:bookmarkEnd w:id="337"/>
      <w:bookmarkEnd w:id="338"/>
      <w:bookmarkEnd w:id="339"/>
      <w:bookmarkEnd w:id="347"/>
      <w:bookmarkEnd w:id="348"/>
      <w:bookmarkEnd w:id="349"/>
    </w:p>
    <w:p w14:paraId="34369851">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eastAsia="zh-CN"/>
        </w:rPr>
      </w:pPr>
      <w:bookmarkStart w:id="350" w:name="_Toc296602445"/>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投标文件提</w:t>
      </w:r>
      <w:bookmarkEnd w:id="340"/>
      <w:bookmarkEnd w:id="341"/>
      <w:bookmarkEnd w:id="342"/>
      <w:bookmarkEnd w:id="343"/>
      <w:bookmarkEnd w:id="344"/>
      <w:bookmarkEnd w:id="345"/>
      <w:bookmarkEnd w:id="346"/>
      <w:bookmarkEnd w:id="350"/>
      <w:r>
        <w:rPr>
          <w:rFonts w:hint="eastAsia" w:ascii="仿宋" w:hAnsi="仿宋" w:eastAsia="仿宋" w:cs="仿宋"/>
          <w:color w:val="auto"/>
          <w:sz w:val="24"/>
          <w:szCs w:val="24"/>
          <w:highlight w:val="none"/>
        </w:rPr>
        <w:t>交截止时间、提交投标文件的地点：详见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15DE84CA">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本项目采用电子招标投标，投标人电子投标文件通过</w:t>
      </w:r>
      <w:r>
        <w:rPr>
          <w:rFonts w:hint="eastAsia" w:ascii="仿宋" w:hAnsi="仿宋" w:eastAsia="仿宋" w:cs="仿宋"/>
          <w:b w:val="0"/>
          <w:bCs w:val="0"/>
          <w:color w:val="auto"/>
          <w:sz w:val="24"/>
          <w:highlight w:val="none"/>
          <w:lang w:eastAsia="zh-CN"/>
        </w:rPr>
        <w:t>政采云平台（https:www.zcygov.cn）</w:t>
      </w:r>
      <w:r>
        <w:rPr>
          <w:rFonts w:hint="eastAsia" w:ascii="仿宋" w:hAnsi="仿宋" w:eastAsia="仿宋" w:cs="仿宋"/>
          <w:color w:val="auto"/>
          <w:sz w:val="24"/>
          <w:szCs w:val="24"/>
          <w:highlight w:val="none"/>
        </w:rPr>
        <w:t>提交，电子投标文件提交截止时间前未完成电子投标文件传输的，视为撤回投标文件。</w:t>
      </w:r>
    </w:p>
    <w:p w14:paraId="4BDF27A8">
      <w:pPr>
        <w:pStyle w:val="4"/>
        <w:keepNext/>
        <w:keepLines/>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bookmarkStart w:id="351" w:name="_Toc8866"/>
      <w:bookmarkStart w:id="352" w:name="_Toc14578"/>
      <w:bookmarkStart w:id="353" w:name="_Toc489145730"/>
      <w:bookmarkStart w:id="354" w:name="_Toc21225"/>
      <w:bookmarkStart w:id="355" w:name="_Toc489197834"/>
      <w:bookmarkStart w:id="356" w:name="_Toc528186478"/>
      <w:r>
        <w:rPr>
          <w:rFonts w:hint="eastAsia" w:ascii="仿宋" w:hAnsi="仿宋" w:eastAsia="仿宋" w:cs="仿宋"/>
          <w:b/>
          <w:bCs/>
          <w:sz w:val="28"/>
          <w:szCs w:val="28"/>
          <w:lang w:val="en-US" w:eastAsia="zh-CN"/>
        </w:rPr>
        <w:t>23、投标文件的补充、</w:t>
      </w:r>
      <w:bookmarkStart w:id="357" w:name="_Toc152042334"/>
      <w:bookmarkStart w:id="358" w:name="_Toc152045558"/>
      <w:bookmarkStart w:id="359" w:name="_Toc296602446"/>
      <w:bookmarkStart w:id="360" w:name="_Toc144974526"/>
      <w:bookmarkStart w:id="361" w:name="_Toc246996945"/>
      <w:bookmarkStart w:id="362" w:name="_Toc179632576"/>
      <w:bookmarkStart w:id="363" w:name="_Toc246996202"/>
      <w:bookmarkStart w:id="364" w:name="_Toc247085716"/>
      <w:r>
        <w:rPr>
          <w:rFonts w:hint="eastAsia" w:ascii="仿宋" w:hAnsi="仿宋" w:eastAsia="仿宋" w:cs="仿宋"/>
          <w:b/>
          <w:bCs/>
          <w:sz w:val="28"/>
          <w:szCs w:val="28"/>
          <w:lang w:val="en-US" w:eastAsia="zh-CN"/>
        </w:rPr>
        <w:t>修改或者撤回</w:t>
      </w:r>
      <w:bookmarkEnd w:id="351"/>
      <w:bookmarkEnd w:id="352"/>
      <w:bookmarkEnd w:id="353"/>
      <w:bookmarkEnd w:id="354"/>
      <w:bookmarkEnd w:id="355"/>
      <w:bookmarkEnd w:id="356"/>
    </w:p>
    <w:p w14:paraId="502DF936">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bookmarkEnd w:id="357"/>
      <w:bookmarkEnd w:id="358"/>
      <w:bookmarkEnd w:id="359"/>
      <w:bookmarkEnd w:id="360"/>
      <w:bookmarkEnd w:id="361"/>
      <w:bookmarkEnd w:id="362"/>
      <w:bookmarkEnd w:id="363"/>
      <w:bookmarkEnd w:id="36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投标人在投标截止时间前，可以对所提交的投标文件进行补充、修改或者撤回，必须在规定的投标截止时间前完成投标文件的传输</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w:t>
      </w:r>
    </w:p>
    <w:p w14:paraId="10367907">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在投标截止时间之后，投标人不得对其投标文件做任何修改。</w:t>
      </w:r>
    </w:p>
    <w:p w14:paraId="7C9537EF">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.3 投标有效期从提交投标文件的截止之日起算。投标文件中承诺的投标有效期应当不少于招标文件中载明的投标有效期。</w:t>
      </w:r>
    </w:p>
    <w:p w14:paraId="7B34971E">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.4 在投标截止时间前，除投标人补充、修改或者撤回投标文件外，任何单位和个人不得解密、提取投标文件。</w:t>
      </w:r>
    </w:p>
    <w:p w14:paraId="442642BF">
      <w:pPr>
        <w:pStyle w:val="3"/>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sz w:val="30"/>
          <w:szCs w:val="30"/>
          <w:highlight w:val="none"/>
        </w:rPr>
      </w:pPr>
      <w:bookmarkStart w:id="365" w:name="_Toc23680"/>
      <w:bookmarkStart w:id="366" w:name="_Toc15607"/>
      <w:bookmarkStart w:id="367" w:name="_Toc26035"/>
      <w:bookmarkStart w:id="368" w:name="_Toc17571"/>
      <w:bookmarkStart w:id="369" w:name="_Toc31068"/>
      <w:bookmarkStart w:id="370" w:name="_Toc488633608"/>
      <w:bookmarkStart w:id="371" w:name="_Toc489197835"/>
      <w:bookmarkStart w:id="372" w:name="_Toc15436"/>
      <w:bookmarkStart w:id="373" w:name="_Toc489145731"/>
      <w:bookmarkStart w:id="374" w:name="_Toc528186479"/>
      <w:r>
        <w:rPr>
          <w:rFonts w:hint="eastAsia" w:ascii="仿宋" w:hAnsi="仿宋" w:eastAsia="仿宋" w:cs="仿宋"/>
          <w:color w:val="auto"/>
          <w:sz w:val="30"/>
          <w:szCs w:val="30"/>
          <w:highlight w:val="none"/>
        </w:rPr>
        <w:t>五、开标</w:t>
      </w:r>
      <w:bookmarkEnd w:id="365"/>
      <w:bookmarkEnd w:id="366"/>
      <w:bookmarkEnd w:id="367"/>
      <w:bookmarkEnd w:id="368"/>
      <w:bookmarkEnd w:id="369"/>
      <w:bookmarkEnd w:id="370"/>
      <w:bookmarkEnd w:id="371"/>
      <w:bookmarkEnd w:id="372"/>
      <w:bookmarkEnd w:id="373"/>
      <w:bookmarkEnd w:id="374"/>
    </w:p>
    <w:p w14:paraId="7D9335DD">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375" w:name="_Toc28158"/>
      <w:bookmarkStart w:id="376" w:name="_Toc14804"/>
      <w:bookmarkStart w:id="377" w:name="_Toc14962"/>
      <w:bookmarkStart w:id="378" w:name="_Toc489197836"/>
      <w:bookmarkStart w:id="379" w:name="_Toc528186480"/>
      <w:bookmarkStart w:id="380" w:name="_Toc489145732"/>
      <w:r>
        <w:rPr>
          <w:rFonts w:hint="eastAsia" w:ascii="仿宋" w:hAnsi="仿宋" w:eastAsia="仿宋" w:cs="仿宋"/>
          <w:b/>
          <w:bCs/>
          <w:sz w:val="28"/>
          <w:szCs w:val="28"/>
          <w:lang w:val="en-US" w:eastAsia="zh-CN"/>
        </w:rPr>
        <w:t>24、开标</w:t>
      </w:r>
      <w:bookmarkEnd w:id="375"/>
      <w:bookmarkEnd w:id="376"/>
      <w:bookmarkEnd w:id="377"/>
      <w:bookmarkEnd w:id="378"/>
      <w:bookmarkEnd w:id="379"/>
      <w:bookmarkEnd w:id="380"/>
    </w:p>
    <w:p w14:paraId="0F52906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381" w:name="_Toc144974527"/>
      <w:bookmarkStart w:id="382" w:name="_Toc152042335"/>
      <w:bookmarkStart w:id="383" w:name="_Toc246996946"/>
      <w:bookmarkStart w:id="384" w:name="_Toc247085717"/>
      <w:bookmarkStart w:id="385" w:name="_Toc378239355"/>
      <w:bookmarkStart w:id="386" w:name="_Toc401342138"/>
      <w:bookmarkStart w:id="387" w:name="_Toc296602447"/>
      <w:bookmarkStart w:id="388" w:name="_Toc378239082"/>
      <w:bookmarkStart w:id="389" w:name="_Toc152045559"/>
      <w:bookmarkStart w:id="390" w:name="_Toc29395"/>
      <w:bookmarkStart w:id="391" w:name="_Toc179632577"/>
      <w:bookmarkStart w:id="392" w:name="_Toc246996203"/>
      <w:bookmarkStart w:id="393" w:name="_Toc378239174"/>
      <w:bookmarkStart w:id="394" w:name="_Toc480817647"/>
      <w:r>
        <w:rPr>
          <w:rFonts w:hint="eastAsia" w:ascii="仿宋" w:hAnsi="仿宋" w:eastAsia="仿宋" w:cs="仿宋"/>
          <w:color w:val="auto"/>
          <w:sz w:val="24"/>
          <w:szCs w:val="24"/>
          <w:highlight w:val="none"/>
        </w:rPr>
        <w:t>24.1</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w:t>
      </w:r>
      <w:bookmarkStart w:id="395" w:name="_Toc247085718"/>
      <w:bookmarkStart w:id="396" w:name="_Toc179632578"/>
      <w:bookmarkStart w:id="397" w:name="_Toc246996947"/>
      <w:bookmarkStart w:id="398" w:name="_Toc296602448"/>
      <w:bookmarkStart w:id="399" w:name="_Toc246996204"/>
      <w:bookmarkStart w:id="400" w:name="_Toc152042336"/>
      <w:bookmarkStart w:id="401" w:name="_Toc152045560"/>
      <w:bookmarkStart w:id="402" w:name="_Toc144974528"/>
      <w:r>
        <w:rPr>
          <w:rFonts w:hint="eastAsia" w:ascii="仿宋" w:hAnsi="仿宋" w:eastAsia="仿宋" w:cs="仿宋"/>
          <w:color w:val="auto"/>
          <w:sz w:val="24"/>
          <w:szCs w:val="24"/>
          <w:highlight w:val="none"/>
        </w:rPr>
        <w:t>标将在招标文</w:t>
      </w:r>
      <w:bookmarkEnd w:id="395"/>
      <w:bookmarkEnd w:id="396"/>
      <w:bookmarkEnd w:id="397"/>
      <w:bookmarkEnd w:id="398"/>
      <w:bookmarkEnd w:id="399"/>
      <w:bookmarkEnd w:id="400"/>
      <w:bookmarkEnd w:id="401"/>
      <w:bookmarkEnd w:id="402"/>
      <w:r>
        <w:rPr>
          <w:rFonts w:hint="eastAsia" w:ascii="仿宋" w:hAnsi="仿宋" w:eastAsia="仿宋" w:cs="仿宋"/>
          <w:color w:val="auto"/>
          <w:sz w:val="24"/>
          <w:szCs w:val="24"/>
          <w:highlight w:val="none"/>
        </w:rPr>
        <w:t>件确定的提交投标文件截止时间的同一时间进行。开标地点为招标文件中预先确定的地点。</w:t>
      </w:r>
    </w:p>
    <w:p w14:paraId="2F49DD5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开标时，投标人登录“政采云”平台（http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www.zcygov.cn）完成远程解密、查看开标一览表等相关操作。本项目解密时间为</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分钟，若投标人未在规定时间完成所有投标文件解密，则视为无效投标，不再进入评审阶段。投标人不足3家的，不得开标。</w:t>
      </w:r>
    </w:p>
    <w:p w14:paraId="7B4B2D2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投标人代表对开标过程和开标记录有疑义，以及认为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相关工作人员有需要回避的情形的，应当场提出询问或者回避申请。</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对投标人代表提出的询问或者回避申请将及时进行处理。</w:t>
      </w:r>
    </w:p>
    <w:p w14:paraId="21462A1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24.4 采购代理机构在“政采云”平台开启报价及签字后，需由投标人代表对开标记录表进行签字确认。</w:t>
      </w:r>
    </w:p>
    <w:p w14:paraId="012D98E8">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如投标人代表未参加开标或未对开标过程和开标记录提出异议，视同认可开标结果，由此产生的后果由投标人自行负责。</w:t>
      </w:r>
    </w:p>
    <w:p w14:paraId="4CD3A84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开标程序</w:t>
      </w:r>
    </w:p>
    <w:p w14:paraId="2E11EC4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（1）采购代理机构在开标时间在政采云平台下达解密指令，投标人在规定的时间内进行解密；</w:t>
      </w:r>
    </w:p>
    <w:p w14:paraId="424181A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（2）解密完成</w:t>
      </w:r>
      <w:r>
        <w:rPr>
          <w:rFonts w:hint="eastAsia" w:ascii="仿宋" w:hAnsi="仿宋" w:eastAsia="仿宋" w:cs="仿宋"/>
          <w:color w:val="auto"/>
          <w:sz w:val="24"/>
          <w:szCs w:val="24"/>
          <w:highlight w:val="none"/>
          <w:lang w:val="en-US" w:eastAsia="zh-CN"/>
        </w:rPr>
        <w:t>后，采购代理机构开启报价并公布开标记录表，同时开启签字，</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代表</w:t>
      </w:r>
      <w:r>
        <w:rPr>
          <w:rFonts w:hint="eastAsia" w:ascii="仿宋" w:hAnsi="仿宋" w:eastAsia="仿宋" w:cs="仿宋"/>
          <w:color w:val="auto"/>
          <w:sz w:val="24"/>
          <w:szCs w:val="24"/>
          <w:highlight w:val="none"/>
        </w:rPr>
        <w:t>应在开标记录表上进行签名确认；</w:t>
      </w:r>
    </w:p>
    <w:p w14:paraId="72BA231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（3）开标会议结束。</w:t>
      </w:r>
    </w:p>
    <w:p w14:paraId="57F1C32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投标文件报价出现前后不一致的，按照下列规定修正：</w:t>
      </w:r>
    </w:p>
    <w:p w14:paraId="0898D9FF">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）投标文件中开标一览表（报价表）内容与投标文件中相应内容不一致的，以开标一览表（报价表）为准；</w:t>
      </w:r>
    </w:p>
    <w:p w14:paraId="0B58E80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）大写金额和小写金额不一致的，以大写金额为准；</w:t>
      </w:r>
    </w:p>
    <w:p w14:paraId="370E0359">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）单价金额小数点或者百分比有明显错位的，以开标一览表的总价为准，并修改单价；</w:t>
      </w:r>
    </w:p>
    <w:p w14:paraId="60E0508D">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）总价金额与按单价汇总金额不一致的，以单价金额计算结果为准。</w:t>
      </w:r>
    </w:p>
    <w:p w14:paraId="2552F48F">
      <w:pPr>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同时出现两种以上不一致的，按照前款规定的顺序修正。修正后的报价按照招标文件规定并经投标人确认后产生约束力，投标人不确认的，其投标无效。</w:t>
      </w:r>
    </w:p>
    <w:p w14:paraId="01DDD96B">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25、资格审查</w:t>
      </w:r>
    </w:p>
    <w:p w14:paraId="6EED9D8D">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25.1 开标结束后，招标人或者采购代理机构将依法对投标人的资格进行审查。合格投标人不足3家的，不得评标。</w:t>
      </w:r>
    </w:p>
    <w:p w14:paraId="3DF99692">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25.2 招标人或者采购代理机构根据资格审查情况出具资格审查表。</w:t>
      </w:r>
    </w:p>
    <w:p w14:paraId="04D262D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25.3 资格审查标准，</w:t>
      </w:r>
      <w:r>
        <w:rPr>
          <w:rFonts w:hint="eastAsia" w:ascii="仿宋" w:hAnsi="仿宋" w:eastAsia="仿宋" w:cs="仿宋"/>
          <w:sz w:val="24"/>
          <w:szCs w:val="24"/>
          <w:highlight w:val="none"/>
        </w:rPr>
        <w:t>符合第</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val="en-US" w:eastAsia="zh-CN"/>
        </w:rPr>
        <w:t>招标公告</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投标人的资格要求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规定，且提供了招标文件要求提供的证明材料。</w:t>
      </w:r>
    </w:p>
    <w:p w14:paraId="0EFB7D7D">
      <w:pPr>
        <w:pStyle w:val="7"/>
        <w:rPr>
          <w:rFonts w:hint="eastAsia" w:ascii="仿宋" w:hAnsi="仿宋" w:eastAsia="仿宋" w:cs="仿宋"/>
          <w:lang w:val="en-US"/>
        </w:rPr>
      </w:pPr>
    </w:p>
    <w:p w14:paraId="0DB75F1E">
      <w:pPr>
        <w:pStyle w:val="3"/>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sz w:val="30"/>
          <w:szCs w:val="30"/>
          <w:highlight w:val="none"/>
        </w:rPr>
      </w:pPr>
      <w:bookmarkStart w:id="403" w:name="_Toc7828"/>
      <w:r>
        <w:rPr>
          <w:rFonts w:hint="eastAsia" w:ascii="仿宋" w:hAnsi="仿宋" w:eastAsia="仿宋" w:cs="仿宋"/>
          <w:color w:val="auto"/>
          <w:sz w:val="30"/>
          <w:szCs w:val="30"/>
          <w:highlight w:val="none"/>
        </w:rPr>
        <w:t>六、评标</w:t>
      </w:r>
      <w:bookmarkEnd w:id="403"/>
    </w:p>
    <w:p w14:paraId="689D29FC">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404" w:name="_Toc11345"/>
      <w:bookmarkStart w:id="405" w:name="_Toc528186482"/>
      <w:bookmarkStart w:id="406" w:name="_Toc32433"/>
      <w:bookmarkStart w:id="407" w:name="_Toc489145734"/>
      <w:bookmarkStart w:id="408" w:name="_Toc12001"/>
      <w:bookmarkStart w:id="409" w:name="_Toc489197838"/>
      <w:r>
        <w:rPr>
          <w:rFonts w:hint="eastAsia" w:ascii="仿宋" w:hAnsi="仿宋" w:eastAsia="仿宋" w:cs="仿宋"/>
          <w:b/>
          <w:bCs/>
          <w:sz w:val="28"/>
          <w:szCs w:val="28"/>
          <w:lang w:val="en-US" w:eastAsia="zh-CN"/>
        </w:rPr>
        <w:t>26、评标</w:t>
      </w:r>
      <w:bookmarkEnd w:id="404"/>
      <w:bookmarkEnd w:id="405"/>
      <w:bookmarkEnd w:id="406"/>
      <w:bookmarkEnd w:id="407"/>
      <w:bookmarkEnd w:id="408"/>
      <w:bookmarkEnd w:id="409"/>
    </w:p>
    <w:p w14:paraId="5DD8D57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26.1 评标委员会负责具体评标事务，并独立履行下列职责：</w:t>
      </w:r>
    </w:p>
    <w:p w14:paraId="2667063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（一）审查、评价投标文件是否符合招标文件的商务、技术等实质性要求；</w:t>
      </w:r>
    </w:p>
    <w:p w14:paraId="2EFD4B1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（二）要求投标人对投标文件有关事项作出澄清或者说明；</w:t>
      </w:r>
    </w:p>
    <w:p w14:paraId="27EB8CC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（三）对投标文件进行比较和评价；</w:t>
      </w:r>
    </w:p>
    <w:p w14:paraId="431576D7">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（四）确定中标候选人名单，以及根据招标人委托直接确定中标人；</w:t>
      </w:r>
    </w:p>
    <w:p w14:paraId="364FF41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（五）向招标人、采购代理机构或者有关部门报告评标中发现的违法行为。</w:t>
      </w:r>
    </w:p>
    <w:p w14:paraId="360FD56F">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szCs w:val="24"/>
          <w:highlight w:val="none"/>
          <w:lang w:val="en-US" w:eastAsia="zh-CN"/>
        </w:rPr>
        <w:t>组成：</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520F05F6">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委派代表参加评标委员会的，要向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出具授权函。除授权代表外，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可以委派纪检监察等相关人员进入评审现场，对评审工作实施监督，但不得超过2人。</w:t>
      </w:r>
    </w:p>
    <w:p w14:paraId="46333756">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评标活动遵循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公平、公正、科学和择优</w:t>
      </w:r>
      <w:r>
        <w:rPr>
          <w:rFonts w:hint="eastAsia" w:ascii="仿宋" w:hAnsi="仿宋" w:eastAsia="仿宋" w:cs="仿宋"/>
          <w:color w:val="auto"/>
          <w:sz w:val="24"/>
          <w:szCs w:val="24"/>
          <w:highlight w:val="none"/>
          <w:lang w:eastAsia="zh-CN"/>
        </w:rPr>
        <w:t>”</w:t>
      </w:r>
      <w:bookmarkStart w:id="410" w:name="_Toc152042341"/>
      <w:bookmarkStart w:id="411" w:name="_Toc246996209"/>
      <w:bookmarkStart w:id="412" w:name="_Toc246996952"/>
      <w:bookmarkStart w:id="413" w:name="_Toc179632583"/>
      <w:bookmarkStart w:id="414" w:name="_Toc144974533"/>
      <w:bookmarkStart w:id="415" w:name="_Toc296602454"/>
      <w:bookmarkStart w:id="416" w:name="_Toc152045565"/>
      <w:bookmarkStart w:id="417" w:name="_Toc247085723"/>
      <w:r>
        <w:rPr>
          <w:rFonts w:hint="eastAsia" w:ascii="仿宋" w:hAnsi="仿宋" w:eastAsia="仿宋" w:cs="仿宋"/>
          <w:color w:val="auto"/>
          <w:sz w:val="24"/>
          <w:szCs w:val="24"/>
          <w:highlight w:val="none"/>
        </w:rPr>
        <w:t>的原则。</w:t>
      </w:r>
    </w:p>
    <w:p w14:paraId="2334C299">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26.5 评标办法：</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b/>
          <w:bCs/>
          <w:color w:val="auto"/>
          <w:sz w:val="24"/>
          <w:szCs w:val="24"/>
          <w:highlight w:val="none"/>
          <w:lang w:eastAsia="zh-CN"/>
        </w:rPr>
        <w:t>。</w:t>
      </w:r>
    </w:p>
    <w:p w14:paraId="6BE4A2D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评标委员会各成员</w:t>
      </w:r>
      <w:bookmarkEnd w:id="410"/>
      <w:bookmarkEnd w:id="411"/>
      <w:bookmarkEnd w:id="412"/>
      <w:bookmarkEnd w:id="413"/>
      <w:bookmarkEnd w:id="414"/>
      <w:bookmarkEnd w:id="415"/>
      <w:bookmarkEnd w:id="416"/>
      <w:bookmarkEnd w:id="417"/>
      <w:r>
        <w:rPr>
          <w:rFonts w:hint="eastAsia" w:ascii="仿宋" w:hAnsi="仿宋" w:eastAsia="仿宋" w:cs="仿宋"/>
          <w:color w:val="auto"/>
          <w:sz w:val="24"/>
          <w:szCs w:val="24"/>
          <w:highlight w:val="none"/>
        </w:rPr>
        <w:t>根据政府采购法律法规按照招标文件规定的评标方法和标准，独立对符合性审查合格的投标文件进行商务和技术评估，综合比较与评价，并汇总每个投标人的得分。招标文件中没有规定的方法、评审因素和标准，不作为评标依据。</w:t>
      </w:r>
    </w:p>
    <w:p w14:paraId="6B3DB1D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评标过程的保密</w:t>
      </w:r>
    </w:p>
    <w:p w14:paraId="153FCF6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418" w:name="_Toc417913976"/>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评标在严格</w:t>
      </w:r>
      <w:bookmarkEnd w:id="418"/>
      <w:r>
        <w:rPr>
          <w:rFonts w:hint="eastAsia" w:ascii="仿宋" w:hAnsi="仿宋" w:eastAsia="仿宋" w:cs="仿宋"/>
          <w:color w:val="auto"/>
          <w:sz w:val="24"/>
          <w:szCs w:val="24"/>
          <w:highlight w:val="none"/>
        </w:rPr>
        <w:t>保密的情况下进行。除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代表、评标现场组织人员外，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的其他工作人员以及与评标工作无关的人员不得进入评标现场。有关人员对评标情况以及在评标过程中获悉的国家秘密、商业秘密负有保密责任。</w:t>
      </w:r>
    </w:p>
    <w:p w14:paraId="4335F0D2">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任何单位和个人不得非法干预、影响评审工作。</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和评审委员会在评审工作中，依法相互监督和制约，并自觉接受财政部门的监督。对非法干预评审工作等违法违规行为，将及时向财政部门报告。</w:t>
      </w:r>
    </w:p>
    <w:p w14:paraId="0F58D7D7">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投标文件中出现含义不明确、同类问题表述不一致或者有明显文字和计算错误的内容，评标委员会将以书面形式要求投标人作出必要的澄清、说明或者补正。投标人的澄清、说明或者补正应当采用书面形式，并加盖公章，或者由</w:t>
      </w:r>
      <w:r>
        <w:rPr>
          <w:rFonts w:hint="eastAsia" w:ascii="仿宋" w:hAnsi="仿宋" w:eastAsia="仿宋" w:cs="仿宋"/>
          <w:color w:val="auto"/>
          <w:sz w:val="24"/>
          <w:szCs w:val="24"/>
          <w:highlight w:val="none"/>
          <w:lang w:eastAsia="zh-CN"/>
        </w:rPr>
        <w:t>法定代表人（负责人）</w:t>
      </w:r>
      <w:r>
        <w:rPr>
          <w:rFonts w:hint="eastAsia" w:ascii="仿宋" w:hAnsi="仿宋" w:eastAsia="仿宋" w:cs="仿宋"/>
          <w:color w:val="auto"/>
          <w:sz w:val="24"/>
          <w:szCs w:val="24"/>
          <w:highlight w:val="none"/>
        </w:rPr>
        <w:t>或其授权的代表签字。投标人的澄清、说明或者补正不得超出投标文件的范围或者改变投标文件的实质性内容。</w:t>
      </w:r>
    </w:p>
    <w:p w14:paraId="63FA325C">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419" w:name="_Toc24802"/>
      <w:bookmarkStart w:id="420" w:name="_Toc8616"/>
      <w:bookmarkStart w:id="421" w:name="_Toc489197839"/>
      <w:bookmarkStart w:id="422" w:name="_Toc528186483"/>
      <w:bookmarkStart w:id="423" w:name="_Toc489145735"/>
      <w:bookmarkStart w:id="424" w:name="_Toc1803"/>
      <w:r>
        <w:rPr>
          <w:rFonts w:hint="eastAsia" w:ascii="仿宋" w:hAnsi="仿宋" w:eastAsia="仿宋" w:cs="仿宋"/>
          <w:b/>
          <w:bCs/>
          <w:sz w:val="28"/>
          <w:szCs w:val="28"/>
          <w:lang w:val="en-US" w:eastAsia="zh-CN"/>
        </w:rPr>
        <w:t>27、投标无效及废标情形</w:t>
      </w:r>
    </w:p>
    <w:p w14:paraId="113B91F3">
      <w:pPr>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FF0000"/>
          <w:sz w:val="24"/>
          <w:szCs w:val="24"/>
          <w:highlight w:val="none"/>
        </w:rPr>
        <w:t>●</w:t>
      </w:r>
      <w:r>
        <w:rPr>
          <w:rFonts w:hint="eastAsia" w:ascii="仿宋" w:hAnsi="仿宋" w:eastAsia="仿宋" w:cs="仿宋"/>
          <w:color w:val="auto"/>
          <w:sz w:val="24"/>
          <w:szCs w:val="24"/>
          <w:highlight w:val="none"/>
          <w:lang w:val="en-US" w:eastAsia="zh-CN"/>
        </w:rPr>
        <w:t xml:space="preserve">27.1 </w:t>
      </w:r>
      <w:r>
        <w:rPr>
          <w:rFonts w:hint="eastAsia" w:ascii="仿宋" w:hAnsi="仿宋" w:eastAsia="仿宋" w:cs="仿宋"/>
          <w:color w:val="auto"/>
          <w:sz w:val="24"/>
          <w:szCs w:val="24"/>
          <w:highlight w:val="none"/>
        </w:rPr>
        <w:t>有下列情形之一的，视为投标人串通投标，其投标无效：</w:t>
      </w:r>
      <w:bookmarkEnd w:id="419"/>
      <w:bookmarkEnd w:id="420"/>
      <w:bookmarkEnd w:id="421"/>
      <w:bookmarkEnd w:id="422"/>
      <w:bookmarkEnd w:id="423"/>
      <w:bookmarkEnd w:id="424"/>
    </w:p>
    <w:p w14:paraId="57BE385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（一）不同投标人的投标文件由同一单位或者个人编制；</w:t>
      </w:r>
    </w:p>
    <w:p w14:paraId="05680EA5">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（二）不同投标人委托同一单位或者个人办理投标事宜；</w:t>
      </w:r>
    </w:p>
    <w:p w14:paraId="5A403BA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（三）不同投标人的投标文件载明的项目管理成员或者联系人员为同一人；</w:t>
      </w:r>
    </w:p>
    <w:p w14:paraId="4D88950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（四）不同投标人的投标文件异常一致或者投标报价呈规律性差异；</w:t>
      </w:r>
    </w:p>
    <w:p w14:paraId="0EB1DEE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（五）不同投标人的投标文件相互混装；</w:t>
      </w:r>
    </w:p>
    <w:p w14:paraId="63E7114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（六）不同投标人的投标保证金从同一单位或者个人的账户转出。</w:t>
      </w:r>
    </w:p>
    <w:p w14:paraId="72D2DFD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投标人应当遵循公平竞争的原则，不得恶意串通，不得妨碍其他投标人的竞争行为，不得损害</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或者其他投标人的合法权益。</w:t>
      </w:r>
    </w:p>
    <w:p w14:paraId="5EB83B7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在评标过程中发现投标人有上述情形的，评标委员会应当认定其投标无效，并书面报告本级财政部门。</w:t>
      </w:r>
    </w:p>
    <w:p w14:paraId="034A3E53">
      <w:pPr>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425" w:name="_Toc18744"/>
      <w:bookmarkStart w:id="426" w:name="_Toc489197840"/>
      <w:bookmarkStart w:id="427" w:name="_Toc528186484"/>
      <w:bookmarkStart w:id="428" w:name="_Toc489145736"/>
      <w:bookmarkStart w:id="429" w:name="_Toc175"/>
      <w:bookmarkStart w:id="430" w:name="_Toc13478"/>
      <w:r>
        <w:rPr>
          <w:rFonts w:hint="eastAsia" w:ascii="仿宋" w:hAnsi="仿宋" w:eastAsia="仿宋" w:cs="仿宋"/>
          <w:color w:val="FF0000"/>
          <w:sz w:val="24"/>
          <w:szCs w:val="24"/>
          <w:highlight w:val="none"/>
        </w:rPr>
        <w:t>●</w:t>
      </w:r>
      <w:r>
        <w:rPr>
          <w:rFonts w:hint="eastAsia" w:ascii="仿宋" w:hAnsi="仿宋" w:eastAsia="仿宋" w:cs="仿宋"/>
          <w:color w:val="auto"/>
          <w:sz w:val="24"/>
          <w:szCs w:val="24"/>
          <w:highlight w:val="none"/>
          <w:lang w:val="en-US" w:eastAsia="zh-CN"/>
        </w:rPr>
        <w:t xml:space="preserve">27.2 </w:t>
      </w:r>
      <w:r>
        <w:rPr>
          <w:rFonts w:hint="eastAsia" w:ascii="仿宋" w:hAnsi="仿宋" w:eastAsia="仿宋" w:cs="仿宋"/>
          <w:color w:val="auto"/>
          <w:sz w:val="24"/>
          <w:szCs w:val="24"/>
          <w:highlight w:val="none"/>
        </w:rPr>
        <w:t>投标人存在下列情</w:t>
      </w:r>
      <w:bookmarkStart w:id="431" w:name="_Toc417913977"/>
      <w:r>
        <w:rPr>
          <w:rFonts w:hint="eastAsia" w:ascii="仿宋" w:hAnsi="仿宋" w:eastAsia="仿宋" w:cs="仿宋"/>
          <w:color w:val="auto"/>
          <w:sz w:val="24"/>
          <w:szCs w:val="24"/>
          <w:highlight w:val="none"/>
        </w:rPr>
        <w:t>况之一的，投标无效：</w:t>
      </w:r>
      <w:bookmarkEnd w:id="425"/>
      <w:bookmarkEnd w:id="426"/>
      <w:bookmarkEnd w:id="427"/>
      <w:bookmarkEnd w:id="428"/>
      <w:bookmarkEnd w:id="429"/>
      <w:bookmarkEnd w:id="430"/>
    </w:p>
    <w:p w14:paraId="3DD2827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（一）未按照招标文件的</w:t>
      </w:r>
      <w:bookmarkEnd w:id="431"/>
      <w:r>
        <w:rPr>
          <w:rFonts w:hint="eastAsia" w:ascii="仿宋" w:hAnsi="仿宋" w:eastAsia="仿宋" w:cs="仿宋"/>
          <w:color w:val="auto"/>
          <w:sz w:val="24"/>
          <w:szCs w:val="24"/>
          <w:highlight w:val="none"/>
        </w:rPr>
        <w:t>规定提交投标保证金的；</w:t>
      </w:r>
    </w:p>
    <w:p w14:paraId="70981D8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（二）投标文件未按招标文件要求签署、盖章的；</w:t>
      </w:r>
    </w:p>
    <w:p w14:paraId="25686BF6">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（三）不具备招标文件中规定的资格要求的；</w:t>
      </w:r>
    </w:p>
    <w:p w14:paraId="2D5E6F6D">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（四）报价超过招标文件中规定的预算金额或者最高限价的；</w:t>
      </w:r>
    </w:p>
    <w:p w14:paraId="48DB78BF">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（五）投标文件含有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不能接受的附加条件的</w:t>
      </w:r>
      <w:r>
        <w:rPr>
          <w:rFonts w:hint="eastAsia" w:ascii="仿宋" w:hAnsi="仿宋" w:eastAsia="仿宋" w:cs="仿宋"/>
          <w:color w:val="auto"/>
          <w:sz w:val="24"/>
          <w:szCs w:val="24"/>
          <w:highlight w:val="none"/>
          <w:lang w:eastAsia="zh-CN"/>
        </w:rPr>
        <w:t>；</w:t>
      </w:r>
    </w:p>
    <w:p w14:paraId="2551ABDE">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和招标文件规定的其他无效情形。</w:t>
      </w:r>
    </w:p>
    <w:p w14:paraId="0E6B60D0">
      <w:pPr>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432" w:name="_Toc489145737"/>
      <w:bookmarkStart w:id="433" w:name="_Toc489197841"/>
      <w:bookmarkStart w:id="434" w:name="_Toc30832"/>
      <w:bookmarkStart w:id="435" w:name="_Toc25015"/>
      <w:bookmarkStart w:id="436" w:name="_Toc528186485"/>
      <w:bookmarkStart w:id="437" w:name="_Toc10276"/>
      <w:r>
        <w:rPr>
          <w:rFonts w:hint="eastAsia" w:ascii="仿宋" w:hAnsi="仿宋" w:eastAsia="仿宋" w:cs="仿宋"/>
          <w:color w:val="auto"/>
          <w:sz w:val="24"/>
          <w:szCs w:val="24"/>
          <w:highlight w:val="none"/>
          <w:lang w:val="en-US" w:eastAsia="zh-CN"/>
        </w:rPr>
        <w:t xml:space="preserve">27.3 </w:t>
      </w:r>
      <w:r>
        <w:rPr>
          <w:rFonts w:hint="eastAsia" w:ascii="仿宋" w:hAnsi="仿宋" w:eastAsia="仿宋" w:cs="仿宋"/>
          <w:color w:val="auto"/>
          <w:sz w:val="24"/>
          <w:szCs w:val="24"/>
          <w:highlight w:val="none"/>
        </w:rPr>
        <w:t>在招标采购中，出现下列情形之一的，应予废标：</w:t>
      </w:r>
      <w:bookmarkEnd w:id="432"/>
      <w:bookmarkEnd w:id="433"/>
      <w:bookmarkEnd w:id="434"/>
      <w:bookmarkEnd w:id="435"/>
      <w:bookmarkEnd w:id="436"/>
      <w:bookmarkEnd w:id="437"/>
    </w:p>
    <w:p w14:paraId="6766E5D1">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（一）符合专业条件的投标人或者对招标文件作实质响应的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不足三家的；</w:t>
      </w:r>
    </w:p>
    <w:p w14:paraId="6EF258F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77983DC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（三）投标人的报价均超过了采购预算，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不能支付的；</w:t>
      </w:r>
    </w:p>
    <w:p w14:paraId="527CABC8">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42AC2606">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应当将废标理由通知所有投标人。</w:t>
      </w:r>
    </w:p>
    <w:p w14:paraId="6A17BE56">
      <w:pPr>
        <w:pStyle w:val="7"/>
        <w:rPr>
          <w:rFonts w:hint="eastAsia" w:ascii="仿宋" w:hAnsi="仿宋" w:eastAsia="仿宋" w:cs="仿宋"/>
        </w:rPr>
      </w:pPr>
    </w:p>
    <w:p w14:paraId="4476DC19">
      <w:pPr>
        <w:pStyle w:val="3"/>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sz w:val="30"/>
          <w:szCs w:val="30"/>
          <w:highlight w:val="none"/>
        </w:rPr>
      </w:pPr>
      <w:bookmarkStart w:id="438" w:name="_Toc528186486"/>
      <w:bookmarkStart w:id="439" w:name="_Toc423"/>
      <w:bookmarkStart w:id="440" w:name="_Toc26267"/>
      <w:bookmarkStart w:id="441" w:name="_Toc13118"/>
      <w:bookmarkStart w:id="442" w:name="_Toc30648"/>
      <w:bookmarkStart w:id="443" w:name="_Toc489145738"/>
      <w:bookmarkStart w:id="444" w:name="_Toc6069"/>
      <w:bookmarkStart w:id="445" w:name="_Toc489197842"/>
      <w:bookmarkStart w:id="446" w:name="_Toc15092"/>
      <w:bookmarkStart w:id="447" w:name="_Toc488633610"/>
      <w:bookmarkStart w:id="448" w:name="_Toc4598"/>
      <w:r>
        <w:rPr>
          <w:rFonts w:hint="eastAsia" w:ascii="仿宋" w:hAnsi="仿宋" w:eastAsia="仿宋" w:cs="仿宋"/>
          <w:color w:val="auto"/>
          <w:sz w:val="30"/>
          <w:szCs w:val="30"/>
          <w:highlight w:val="none"/>
        </w:rPr>
        <w:t>七、中标结果</w:t>
      </w:r>
      <w:bookmarkEnd w:id="438"/>
      <w:bookmarkEnd w:id="439"/>
      <w:bookmarkEnd w:id="440"/>
      <w:bookmarkEnd w:id="441"/>
      <w:bookmarkEnd w:id="442"/>
      <w:bookmarkEnd w:id="443"/>
      <w:bookmarkEnd w:id="444"/>
      <w:bookmarkEnd w:id="445"/>
      <w:bookmarkEnd w:id="446"/>
      <w:bookmarkEnd w:id="447"/>
      <w:bookmarkEnd w:id="448"/>
    </w:p>
    <w:p w14:paraId="0DC19F27">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449" w:name="_Toc27751"/>
      <w:bookmarkStart w:id="450" w:name="_Toc489197843"/>
      <w:bookmarkStart w:id="451" w:name="_Toc26494"/>
      <w:bookmarkStart w:id="452" w:name="_Toc12331"/>
      <w:bookmarkStart w:id="453" w:name="_Toc18071"/>
      <w:bookmarkStart w:id="454" w:name="_Toc528186487"/>
      <w:bookmarkStart w:id="455" w:name="_Toc489145739"/>
      <w:r>
        <w:rPr>
          <w:rFonts w:hint="eastAsia" w:ascii="仿宋" w:hAnsi="仿宋" w:eastAsia="仿宋" w:cs="仿宋"/>
          <w:b/>
          <w:bCs/>
          <w:sz w:val="28"/>
          <w:szCs w:val="28"/>
          <w:lang w:val="en-US" w:eastAsia="zh-CN"/>
        </w:rPr>
        <w:t>28、中</w:t>
      </w:r>
      <w:bookmarkStart w:id="456" w:name="_Toc296602455"/>
      <w:bookmarkStart w:id="457" w:name="_Toc144974534"/>
      <w:bookmarkStart w:id="458" w:name="_Toc179632584"/>
      <w:bookmarkStart w:id="459" w:name="_Toc246996953"/>
      <w:bookmarkStart w:id="460" w:name="_Toc152045566"/>
      <w:bookmarkStart w:id="461" w:name="_Toc378239357"/>
      <w:bookmarkStart w:id="462" w:name="_Toc378239176"/>
      <w:bookmarkStart w:id="463" w:name="_Toc246996210"/>
      <w:bookmarkStart w:id="464" w:name="_Toc378239084"/>
      <w:bookmarkStart w:id="465" w:name="_Toc152042342"/>
      <w:bookmarkStart w:id="466" w:name="_Toc247085724"/>
      <w:bookmarkStart w:id="467" w:name="_Toc401342140"/>
      <w:bookmarkStart w:id="468" w:name="_Toc13517"/>
      <w:bookmarkStart w:id="469" w:name="_Toc480817649"/>
      <w:r>
        <w:rPr>
          <w:rFonts w:hint="eastAsia" w:ascii="仿宋" w:hAnsi="仿宋" w:eastAsia="仿宋" w:cs="仿宋"/>
          <w:b/>
          <w:bCs/>
          <w:sz w:val="28"/>
          <w:szCs w:val="28"/>
          <w:lang w:val="en-US" w:eastAsia="zh-CN"/>
        </w:rPr>
        <w:t>标</w:t>
      </w:r>
      <w:bookmarkEnd w:id="456"/>
      <w:bookmarkEnd w:id="457"/>
      <w:bookmarkEnd w:id="458"/>
      <w:bookmarkEnd w:id="459"/>
      <w:bookmarkEnd w:id="460"/>
      <w:bookmarkEnd w:id="461"/>
      <w:bookmarkEnd w:id="462"/>
      <w:bookmarkEnd w:id="463"/>
      <w:bookmarkEnd w:id="464"/>
      <w:bookmarkEnd w:id="465"/>
      <w:bookmarkEnd w:id="466"/>
      <w:bookmarkEnd w:id="467"/>
      <w:r>
        <w:rPr>
          <w:rFonts w:hint="eastAsia" w:ascii="仿宋" w:hAnsi="仿宋" w:eastAsia="仿宋" w:cs="仿宋"/>
          <w:b/>
          <w:bCs/>
          <w:sz w:val="28"/>
          <w:szCs w:val="28"/>
          <w:lang w:val="en-US" w:eastAsia="zh-CN"/>
        </w:rPr>
        <w:t>人的</w:t>
      </w:r>
      <w:bookmarkEnd w:id="468"/>
      <w:bookmarkEnd w:id="469"/>
      <w:r>
        <w:rPr>
          <w:rFonts w:hint="eastAsia" w:ascii="仿宋" w:hAnsi="仿宋" w:eastAsia="仿宋" w:cs="仿宋"/>
          <w:b/>
          <w:bCs/>
          <w:sz w:val="28"/>
          <w:szCs w:val="28"/>
          <w:lang w:val="en-US" w:eastAsia="zh-CN"/>
        </w:rPr>
        <w:t>确</w:t>
      </w:r>
      <w:bookmarkStart w:id="470" w:name="_Toc246996954"/>
      <w:bookmarkStart w:id="471" w:name="_Toc246996211"/>
      <w:bookmarkStart w:id="472" w:name="_Toc144974535"/>
      <w:bookmarkStart w:id="473" w:name="_Toc152045567"/>
      <w:bookmarkStart w:id="474" w:name="_Toc152042343"/>
      <w:bookmarkStart w:id="475" w:name="_Toc179632585"/>
      <w:bookmarkStart w:id="476" w:name="_Toc247085725"/>
      <w:bookmarkStart w:id="477" w:name="_Toc296602456"/>
      <w:r>
        <w:rPr>
          <w:rFonts w:hint="eastAsia" w:ascii="仿宋" w:hAnsi="仿宋" w:eastAsia="仿宋" w:cs="仿宋"/>
          <w:b/>
          <w:bCs/>
          <w:sz w:val="28"/>
          <w:szCs w:val="28"/>
          <w:lang w:val="en-US" w:eastAsia="zh-CN"/>
        </w:rPr>
        <w:t>定</w:t>
      </w:r>
      <w:bookmarkEnd w:id="449"/>
      <w:bookmarkEnd w:id="450"/>
      <w:bookmarkEnd w:id="451"/>
      <w:bookmarkEnd w:id="452"/>
      <w:bookmarkEnd w:id="453"/>
      <w:bookmarkEnd w:id="454"/>
      <w:bookmarkEnd w:id="455"/>
    </w:p>
    <w:p w14:paraId="51C396C4">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478" w:name="_Toc417913979"/>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w:t>
      </w:r>
      <w:bookmarkEnd w:id="470"/>
      <w:bookmarkEnd w:id="471"/>
      <w:bookmarkEnd w:id="472"/>
      <w:bookmarkEnd w:id="473"/>
      <w:bookmarkEnd w:id="474"/>
      <w:bookmarkEnd w:id="475"/>
      <w:bookmarkEnd w:id="476"/>
      <w:bookmarkEnd w:id="477"/>
      <w:bookmarkEnd w:id="478"/>
      <w:r>
        <w:rPr>
          <w:rFonts w:hint="eastAsia" w:ascii="仿宋" w:hAnsi="仿宋" w:eastAsia="仿宋" w:cs="仿宋"/>
          <w:color w:val="auto"/>
          <w:sz w:val="24"/>
          <w:szCs w:val="24"/>
          <w:highlight w:val="none"/>
        </w:rPr>
        <w:t>当在评标结束后2个工作日内将评标报告送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p>
    <w:p w14:paraId="14FB344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应当自收到评标报告之日起5个工作日内，在评标报告确定的中标候选人名单中按顺序确定中标人。中标候选人并列的，由评标委员会按照招标文件规定的方式确定中标人。</w:t>
      </w:r>
    </w:p>
    <w:p w14:paraId="2E699BD8">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479" w:name="_Toc489145740"/>
      <w:bookmarkStart w:id="480" w:name="_Toc9879"/>
      <w:bookmarkStart w:id="481" w:name="_Toc528186488"/>
      <w:bookmarkStart w:id="482" w:name="_Toc16105"/>
      <w:bookmarkStart w:id="483" w:name="_Toc489197844"/>
      <w:bookmarkStart w:id="484" w:name="_Toc31584"/>
      <w:bookmarkStart w:id="485" w:name="_Toc9834"/>
      <w:r>
        <w:rPr>
          <w:rFonts w:hint="eastAsia" w:ascii="仿宋" w:hAnsi="仿宋" w:eastAsia="仿宋" w:cs="仿宋"/>
          <w:b/>
          <w:bCs/>
          <w:sz w:val="28"/>
          <w:szCs w:val="28"/>
          <w:lang w:val="en-US" w:eastAsia="zh-CN"/>
        </w:rPr>
        <w:t>29、中标通知书</w:t>
      </w:r>
      <w:bookmarkEnd w:id="479"/>
      <w:bookmarkEnd w:id="480"/>
      <w:bookmarkEnd w:id="481"/>
      <w:bookmarkEnd w:id="482"/>
      <w:bookmarkEnd w:id="483"/>
      <w:bookmarkEnd w:id="484"/>
      <w:bookmarkEnd w:id="485"/>
    </w:p>
    <w:p w14:paraId="7E083F4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486" w:name="_Toc144974536"/>
      <w:bookmarkStart w:id="487" w:name="_Toc296602458"/>
      <w:bookmarkStart w:id="488" w:name="_Toc246996955"/>
      <w:bookmarkStart w:id="489" w:name="_Toc247085726"/>
      <w:bookmarkStart w:id="490" w:name="_Toc152042344"/>
      <w:bookmarkStart w:id="491" w:name="_Toc179632586"/>
      <w:bookmarkStart w:id="492" w:name="_Toc246996212"/>
      <w:bookmarkStart w:id="493" w:name="_Toc152045568"/>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采购代理机构在招标人</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之</w:t>
      </w:r>
      <w:bookmarkEnd w:id="486"/>
      <w:bookmarkEnd w:id="487"/>
      <w:bookmarkEnd w:id="488"/>
      <w:bookmarkEnd w:id="489"/>
      <w:bookmarkEnd w:id="490"/>
      <w:bookmarkEnd w:id="491"/>
      <w:bookmarkEnd w:id="492"/>
      <w:bookmarkEnd w:id="493"/>
      <w:r>
        <w:rPr>
          <w:rFonts w:hint="eastAsia" w:ascii="仿宋" w:hAnsi="仿宋" w:eastAsia="仿宋" w:cs="仿宋"/>
          <w:color w:val="auto"/>
          <w:sz w:val="24"/>
          <w:szCs w:val="24"/>
          <w:highlight w:val="none"/>
        </w:rPr>
        <w:t>日起</w:t>
      </w:r>
      <w:bookmarkStart w:id="494" w:name="_Toc152045570"/>
      <w:bookmarkStart w:id="495" w:name="_Toc246996957"/>
      <w:bookmarkStart w:id="496" w:name="_Toc246996214"/>
      <w:bookmarkStart w:id="497" w:name="_Toc296602460"/>
      <w:bookmarkStart w:id="498" w:name="_Toc152042346"/>
      <w:bookmarkStart w:id="499" w:name="_Toc144974538"/>
      <w:bookmarkStart w:id="500" w:name="_Toc179632588"/>
      <w:bookmarkStart w:id="501" w:name="_Toc247085728"/>
      <w:r>
        <w:rPr>
          <w:rFonts w:hint="eastAsia" w:ascii="仿宋" w:hAnsi="仿宋" w:eastAsia="仿宋" w:cs="仿宋"/>
          <w:color w:val="auto"/>
          <w:sz w:val="24"/>
          <w:szCs w:val="24"/>
          <w:highlight w:val="none"/>
        </w:rPr>
        <w:t>2个工作日内，在</w:t>
      </w:r>
      <w:r>
        <w:rPr>
          <w:rFonts w:hint="eastAsia" w:ascii="仿宋" w:hAnsi="仿宋" w:eastAsia="仿宋" w:cs="仿宋"/>
          <w:color w:val="auto"/>
          <w:sz w:val="24"/>
          <w:szCs w:val="24"/>
          <w:highlight w:val="none"/>
          <w:lang w:val="en-US" w:eastAsia="zh-CN"/>
        </w:rPr>
        <w:t>省级以上人民政府</w:t>
      </w:r>
      <w:r>
        <w:rPr>
          <w:rFonts w:hint="eastAsia" w:ascii="仿宋" w:hAnsi="仿宋" w:eastAsia="仿宋" w:cs="仿宋"/>
          <w:color w:val="auto"/>
          <w:sz w:val="24"/>
          <w:szCs w:val="24"/>
          <w:highlight w:val="none"/>
        </w:rPr>
        <w:t>财政部门指定的媒体上公告中标结果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并同时</w:t>
      </w:r>
      <w:r>
        <w:rPr>
          <w:rFonts w:hint="eastAsia" w:ascii="仿宋" w:hAnsi="仿宋" w:eastAsia="仿宋" w:cs="仿宋"/>
          <w:color w:val="auto"/>
          <w:sz w:val="24"/>
          <w:szCs w:val="24"/>
          <w:highlight w:val="none"/>
        </w:rPr>
        <w:t>向中标人发出中标通知书。中标公告期限为1个工作日。</w:t>
      </w:r>
    </w:p>
    <w:p w14:paraId="0D69318F">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中标通知书是合同的一个组成部分。</w:t>
      </w:r>
    </w:p>
    <w:p w14:paraId="4CFDDCEC">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502" w:name="_Toc31113"/>
      <w:bookmarkStart w:id="503" w:name="_Toc1652"/>
      <w:bookmarkStart w:id="504" w:name="_Toc61"/>
      <w:bookmarkStart w:id="505" w:name="_Toc528186489"/>
      <w:bookmarkStart w:id="506" w:name="_Toc489145741"/>
      <w:bookmarkStart w:id="507" w:name="_Toc30707"/>
      <w:bookmarkStart w:id="508" w:name="_Toc489197845"/>
      <w:r>
        <w:rPr>
          <w:rFonts w:hint="eastAsia" w:ascii="仿宋" w:hAnsi="仿宋" w:eastAsia="仿宋" w:cs="仿宋"/>
          <w:b/>
          <w:bCs/>
          <w:sz w:val="28"/>
          <w:szCs w:val="28"/>
          <w:lang w:val="en-US" w:eastAsia="zh-CN"/>
        </w:rPr>
        <w:t>30、签订合同</w:t>
      </w:r>
      <w:bookmarkEnd w:id="502"/>
      <w:bookmarkEnd w:id="503"/>
      <w:bookmarkEnd w:id="504"/>
      <w:bookmarkEnd w:id="505"/>
      <w:bookmarkEnd w:id="506"/>
      <w:bookmarkEnd w:id="507"/>
      <w:bookmarkEnd w:id="508"/>
    </w:p>
    <w:p w14:paraId="1AB6C6B8">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应当自中</w:t>
      </w:r>
      <w:bookmarkEnd w:id="494"/>
      <w:bookmarkEnd w:id="495"/>
      <w:bookmarkEnd w:id="496"/>
      <w:bookmarkEnd w:id="497"/>
      <w:bookmarkEnd w:id="498"/>
      <w:bookmarkEnd w:id="499"/>
      <w:bookmarkEnd w:id="500"/>
      <w:bookmarkEnd w:id="501"/>
      <w:r>
        <w:rPr>
          <w:rFonts w:hint="eastAsia" w:ascii="仿宋" w:hAnsi="仿宋" w:eastAsia="仿宋" w:cs="仿宋"/>
          <w:color w:val="auto"/>
          <w:sz w:val="24"/>
          <w:szCs w:val="24"/>
          <w:highlight w:val="none"/>
        </w:rPr>
        <w:t>标通知书发出之日起30日内，按照招标文件和中标人投标文件的规定，与中标人签订书面合同。所签订的合同不得对招标文件确定的事项和中标人投标文件作实质性修改。</w:t>
      </w:r>
    </w:p>
    <w:p w14:paraId="58809BB2">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中标通知书发出后，</w:t>
      </w:r>
      <w:r>
        <w:rPr>
          <w:rFonts w:hint="eastAsia" w:ascii="仿宋" w:hAnsi="仿宋" w:eastAsia="仿宋" w:cs="仿宋"/>
          <w:color w:val="auto"/>
          <w:sz w:val="24"/>
          <w:szCs w:val="24"/>
          <w:highlight w:val="none"/>
          <w:lang w:val="en-US" w:eastAsia="zh-CN"/>
        </w:rPr>
        <w:t>招标人不得违法改变中标结果，</w:t>
      </w:r>
      <w:r>
        <w:rPr>
          <w:rFonts w:hint="eastAsia" w:ascii="仿宋" w:hAnsi="仿宋" w:eastAsia="仿宋" w:cs="仿宋"/>
          <w:color w:val="auto"/>
          <w:sz w:val="24"/>
          <w:szCs w:val="24"/>
          <w:highlight w:val="none"/>
        </w:rPr>
        <w:t>中标人无正当理由</w:t>
      </w:r>
      <w:r>
        <w:rPr>
          <w:rFonts w:hint="eastAsia" w:ascii="仿宋" w:hAnsi="仿宋" w:eastAsia="仿宋" w:cs="仿宋"/>
          <w:color w:val="auto"/>
          <w:sz w:val="24"/>
          <w:szCs w:val="24"/>
          <w:highlight w:val="none"/>
          <w:lang w:val="en-US" w:eastAsia="zh-CN"/>
        </w:rPr>
        <w:t>不得</w:t>
      </w:r>
      <w:r>
        <w:rPr>
          <w:rFonts w:hint="eastAsia" w:ascii="仿宋" w:hAnsi="仿宋" w:eastAsia="仿宋" w:cs="仿宋"/>
          <w:color w:val="auto"/>
          <w:sz w:val="24"/>
          <w:szCs w:val="24"/>
          <w:highlight w:val="none"/>
        </w:rPr>
        <w:t>放弃中标。</w:t>
      </w:r>
    </w:p>
    <w:p w14:paraId="0FF2A4F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lang w:val="en-US" w:eastAsia="zh-CN"/>
        </w:rPr>
        <w:t>政府采购</w:t>
      </w:r>
      <w:r>
        <w:rPr>
          <w:rFonts w:hint="eastAsia" w:ascii="仿宋" w:hAnsi="仿宋" w:eastAsia="仿宋" w:cs="仿宋"/>
          <w:color w:val="auto"/>
          <w:sz w:val="24"/>
          <w:szCs w:val="24"/>
          <w:highlight w:val="none"/>
        </w:rPr>
        <w:t>合同的，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可以按照评审报告推荐的中标或者成交候选人名单排序，确定下一候选人为中标或者成交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，也可以重新开展政府采购活动。</w:t>
      </w:r>
    </w:p>
    <w:p w14:paraId="10CA66BD">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政府采购合同应当包括</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与中标人的名称和住所、标的、数量、质量、价款或者报酬、履行期限及地点和方式、验收要求、违约责任、解决争议的方法等内容。</w:t>
      </w:r>
    </w:p>
    <w:p w14:paraId="44732493">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政府采购合同履行中，</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需追加与合同标的相同的货物的，在不改变合同其他条款的前提下，可以与中标人协商签订补充合同，但所有补充合同的采购金额不得超过原合同采购金额的</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rPr>
        <w:t>。</w:t>
      </w:r>
    </w:p>
    <w:p w14:paraId="7502B97A">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 xml:space="preserve"> 本项目不允许分包。</w:t>
      </w:r>
    </w:p>
    <w:p w14:paraId="38188FF4">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509" w:name="_Toc10219"/>
      <w:bookmarkStart w:id="510" w:name="_Toc489197846"/>
      <w:bookmarkStart w:id="511" w:name="_Toc489145742"/>
      <w:bookmarkStart w:id="512" w:name="_Toc22468"/>
      <w:bookmarkStart w:id="513" w:name="_Toc11904"/>
      <w:bookmarkStart w:id="514" w:name="_Toc19700"/>
      <w:bookmarkStart w:id="515" w:name="_Toc528186490"/>
      <w:r>
        <w:rPr>
          <w:rFonts w:hint="eastAsia" w:ascii="仿宋" w:hAnsi="仿宋" w:eastAsia="仿宋" w:cs="仿宋"/>
          <w:b/>
          <w:bCs/>
          <w:sz w:val="28"/>
          <w:szCs w:val="28"/>
          <w:lang w:val="en-US" w:eastAsia="zh-CN"/>
        </w:rPr>
        <w:t>31、履约保证金</w:t>
      </w:r>
      <w:bookmarkEnd w:id="509"/>
      <w:bookmarkEnd w:id="510"/>
      <w:bookmarkEnd w:id="511"/>
      <w:bookmarkEnd w:id="512"/>
      <w:bookmarkEnd w:id="513"/>
      <w:bookmarkEnd w:id="514"/>
      <w:bookmarkEnd w:id="515"/>
    </w:p>
    <w:p w14:paraId="7E482BDC">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16" w:name="_Toc417913982"/>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bookmarkEnd w:id="516"/>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中标人应按《投标人须知前附表》上确定的履约保证金的金额及形式，向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提交履约保证金，联合体中标的，其履约保证金由牵头人</w:t>
      </w:r>
      <w:r>
        <w:rPr>
          <w:rFonts w:hint="eastAsia" w:ascii="仿宋" w:hAnsi="仿宋" w:eastAsia="仿宋" w:cs="仿宋"/>
          <w:color w:val="auto"/>
          <w:sz w:val="24"/>
          <w:szCs w:val="24"/>
          <w:highlight w:val="none"/>
          <w:lang w:val="en-US" w:eastAsia="zh-CN"/>
        </w:rPr>
        <w:t>提</w:t>
      </w:r>
      <w:r>
        <w:rPr>
          <w:rFonts w:hint="eastAsia" w:ascii="仿宋" w:hAnsi="仿宋" w:eastAsia="仿宋" w:cs="仿宋"/>
          <w:color w:val="auto"/>
          <w:sz w:val="24"/>
          <w:szCs w:val="24"/>
          <w:highlight w:val="none"/>
        </w:rPr>
        <w:t>交。</w:t>
      </w:r>
    </w:p>
    <w:p w14:paraId="35C09ABE">
      <w:pPr>
        <w:pStyle w:val="7"/>
        <w:rPr>
          <w:rFonts w:hint="eastAsia" w:ascii="仿宋" w:hAnsi="仿宋" w:eastAsia="仿宋" w:cs="仿宋"/>
        </w:rPr>
      </w:pPr>
    </w:p>
    <w:p w14:paraId="33553409">
      <w:pPr>
        <w:pStyle w:val="3"/>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sz w:val="30"/>
          <w:szCs w:val="30"/>
          <w:highlight w:val="none"/>
        </w:rPr>
      </w:pPr>
      <w:bookmarkStart w:id="517" w:name="_Toc26286"/>
      <w:bookmarkStart w:id="518" w:name="_Toc528186491"/>
      <w:bookmarkStart w:id="519" w:name="_Toc32208"/>
      <w:bookmarkStart w:id="520" w:name="_Toc23574"/>
      <w:bookmarkStart w:id="521" w:name="_Toc30100"/>
      <w:bookmarkStart w:id="522" w:name="_Toc489145743"/>
      <w:bookmarkStart w:id="523" w:name="_Toc8991"/>
      <w:bookmarkStart w:id="524" w:name="_Toc12084"/>
      <w:bookmarkStart w:id="525" w:name="_Toc489197847"/>
      <w:bookmarkStart w:id="526" w:name="_Toc488633611"/>
      <w:bookmarkStart w:id="527" w:name="_Toc32688"/>
      <w:r>
        <w:rPr>
          <w:rFonts w:hint="eastAsia" w:ascii="仿宋" w:hAnsi="仿宋" w:eastAsia="仿宋" w:cs="仿宋"/>
          <w:color w:val="auto"/>
          <w:sz w:val="30"/>
          <w:szCs w:val="30"/>
          <w:highlight w:val="none"/>
        </w:rPr>
        <w:t>八、其他事项</w:t>
      </w:r>
      <w:bookmarkEnd w:id="517"/>
      <w:bookmarkEnd w:id="518"/>
      <w:bookmarkEnd w:id="519"/>
      <w:bookmarkEnd w:id="520"/>
      <w:bookmarkEnd w:id="521"/>
      <w:bookmarkEnd w:id="522"/>
      <w:bookmarkEnd w:id="523"/>
      <w:bookmarkEnd w:id="524"/>
      <w:bookmarkEnd w:id="525"/>
      <w:bookmarkEnd w:id="526"/>
      <w:bookmarkEnd w:id="527"/>
    </w:p>
    <w:p w14:paraId="5A52C5EB">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528" w:name="_Toc19951"/>
      <w:bookmarkStart w:id="529" w:name="_Toc14661"/>
      <w:bookmarkStart w:id="530" w:name="_Toc30098"/>
      <w:bookmarkStart w:id="531" w:name="_Toc489197848"/>
      <w:bookmarkStart w:id="532" w:name="_Toc489145744"/>
      <w:bookmarkStart w:id="533" w:name="_Toc528186492"/>
      <w:bookmarkStart w:id="534" w:name="_Toc7122"/>
      <w:r>
        <w:rPr>
          <w:rFonts w:hint="eastAsia" w:ascii="仿宋" w:hAnsi="仿宋" w:eastAsia="仿宋" w:cs="仿宋"/>
          <w:b/>
          <w:bCs/>
          <w:sz w:val="28"/>
          <w:szCs w:val="28"/>
          <w:lang w:val="en-US" w:eastAsia="zh-CN"/>
        </w:rPr>
        <w:t>3</w:t>
      </w:r>
      <w:bookmarkEnd w:id="528"/>
      <w:bookmarkEnd w:id="529"/>
      <w:bookmarkEnd w:id="530"/>
      <w:bookmarkEnd w:id="531"/>
      <w:bookmarkEnd w:id="532"/>
      <w:bookmarkEnd w:id="533"/>
      <w:bookmarkEnd w:id="534"/>
      <w:r>
        <w:rPr>
          <w:rFonts w:hint="eastAsia" w:ascii="仿宋" w:hAnsi="仿宋" w:eastAsia="仿宋" w:cs="仿宋"/>
          <w:b/>
          <w:bCs/>
          <w:sz w:val="28"/>
          <w:szCs w:val="28"/>
          <w:lang w:val="en-US" w:eastAsia="zh-CN"/>
        </w:rPr>
        <w:t>2、中标服务费</w:t>
      </w:r>
    </w:p>
    <w:p w14:paraId="1959AB80">
      <w:pPr>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32.1 </w:t>
      </w:r>
      <w:r>
        <w:rPr>
          <w:rFonts w:hint="eastAsia" w:ascii="仿宋" w:hAnsi="仿宋" w:eastAsia="仿宋" w:cs="仿宋"/>
          <w:color w:val="auto"/>
          <w:sz w:val="24"/>
          <w:szCs w:val="24"/>
          <w:highlight w:val="none"/>
        </w:rPr>
        <w:t>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7A1D8F19">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535" w:name="_Toc103173521"/>
      <w:bookmarkStart w:id="536" w:name="_Toc103269427"/>
      <w:bookmarkStart w:id="537" w:name="_Toc100937199"/>
      <w:bookmarkStart w:id="538" w:name="_Toc112951198"/>
      <w:bookmarkStart w:id="539" w:name="_Toc30641"/>
      <w:r>
        <w:rPr>
          <w:rFonts w:hint="eastAsia" w:ascii="仿宋" w:hAnsi="仿宋" w:eastAsia="仿宋" w:cs="仿宋"/>
          <w:b/>
          <w:bCs/>
          <w:sz w:val="28"/>
          <w:szCs w:val="28"/>
          <w:lang w:val="en-US" w:eastAsia="zh-CN"/>
        </w:rPr>
        <w:t>33、其他内容</w:t>
      </w:r>
      <w:bookmarkEnd w:id="535"/>
      <w:bookmarkEnd w:id="536"/>
      <w:bookmarkEnd w:id="537"/>
      <w:bookmarkEnd w:id="538"/>
      <w:bookmarkEnd w:id="539"/>
    </w:p>
    <w:p w14:paraId="5511BFF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1 </w:t>
      </w:r>
      <w:r>
        <w:rPr>
          <w:rFonts w:hint="eastAsia" w:ascii="仿宋" w:hAnsi="仿宋" w:eastAsia="仿宋" w:cs="仿宋"/>
          <w:bCs/>
          <w:color w:val="auto"/>
          <w:sz w:val="24"/>
          <w:szCs w:val="24"/>
          <w:highlight w:val="none"/>
          <w:lang w:eastAsia="zh-CN"/>
        </w:rPr>
        <w:t>其他需要</w:t>
      </w:r>
      <w:r>
        <w:rPr>
          <w:rFonts w:hint="eastAsia" w:ascii="仿宋" w:hAnsi="仿宋" w:eastAsia="仿宋" w:cs="仿宋"/>
          <w:color w:val="auto"/>
          <w:sz w:val="24"/>
          <w:szCs w:val="24"/>
          <w:highlight w:val="none"/>
        </w:rPr>
        <w:t>补充的其他内容：详见</w:t>
      </w:r>
      <w:r>
        <w:rPr>
          <w:rFonts w:hint="eastAsia" w:ascii="仿宋" w:hAnsi="仿宋" w:eastAsia="仿宋" w:cs="仿宋"/>
          <w:b/>
          <w:bCs/>
          <w:color w:val="auto"/>
          <w:sz w:val="24"/>
          <w:szCs w:val="24"/>
          <w:highlight w:val="none"/>
        </w:rPr>
        <w:t>《投标人须知前附表》</w:t>
      </w:r>
      <w:r>
        <w:rPr>
          <w:rFonts w:hint="eastAsia" w:ascii="仿宋" w:hAnsi="仿宋" w:eastAsia="仿宋" w:cs="仿宋"/>
          <w:color w:val="auto"/>
          <w:sz w:val="24"/>
          <w:szCs w:val="24"/>
          <w:highlight w:val="none"/>
        </w:rPr>
        <w:t>。</w:t>
      </w:r>
    </w:p>
    <w:p w14:paraId="0D52FDE5">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084A1EA">
      <w:pPr>
        <w:pStyle w:val="2"/>
        <w:shd w:val="clear"/>
        <w:outlineLvl w:val="0"/>
        <w:rPr>
          <w:rFonts w:hint="eastAsia" w:ascii="仿宋" w:hAnsi="仿宋" w:eastAsia="仿宋" w:cs="仿宋"/>
          <w:color w:val="auto"/>
          <w:highlight w:val="none"/>
        </w:rPr>
      </w:pPr>
      <w:bookmarkStart w:id="540" w:name="_Toc6824"/>
      <w:bookmarkStart w:id="541" w:name="_Toc24122"/>
      <w:bookmarkStart w:id="542" w:name="_Toc364392640"/>
      <w:bookmarkStart w:id="543" w:name="_Toc26119"/>
      <w:bookmarkStart w:id="544" w:name="_Toc6023"/>
      <w:bookmarkStart w:id="545" w:name="_Toc1846"/>
      <w:bookmarkStart w:id="546" w:name="_Toc528186481"/>
      <w:bookmarkStart w:id="547" w:name="_Toc7291"/>
      <w:bookmarkStart w:id="548" w:name="_Toc30011"/>
      <w:bookmarkStart w:id="549" w:name="_Toc489197837"/>
      <w:bookmarkStart w:id="550" w:name="_Toc1592"/>
      <w:bookmarkStart w:id="551" w:name="_Toc488633609"/>
      <w:bookmarkStart w:id="552" w:name="_Toc10970"/>
      <w:bookmarkStart w:id="553" w:name="_Toc489145733"/>
      <w:r>
        <w:rPr>
          <w:rFonts w:hint="eastAsia" w:ascii="仿宋" w:hAnsi="仿宋" w:eastAsia="仿宋" w:cs="仿宋"/>
          <w:color w:val="auto"/>
          <w:highlight w:val="none"/>
        </w:rPr>
        <w:t>第三章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合同书样式及主要条款</w:t>
      </w:r>
      <w:bookmarkEnd w:id="540"/>
      <w:bookmarkEnd w:id="541"/>
      <w:bookmarkEnd w:id="542"/>
      <w:bookmarkEnd w:id="543"/>
      <w:bookmarkEnd w:id="544"/>
      <w:bookmarkEnd w:id="545"/>
    </w:p>
    <w:p w14:paraId="014D9E22">
      <w:pPr>
        <w:shd w:val="clear"/>
        <w:rPr>
          <w:rFonts w:hint="eastAsia" w:ascii="仿宋" w:hAnsi="仿宋" w:eastAsia="仿宋" w:cs="仿宋"/>
          <w:color w:val="auto"/>
          <w:highlight w:val="none"/>
        </w:rPr>
      </w:pPr>
    </w:p>
    <w:tbl>
      <w:tblPr>
        <w:tblStyle w:val="23"/>
        <w:tblW w:w="978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876"/>
        <w:gridCol w:w="6986"/>
      </w:tblGrid>
      <w:tr w14:paraId="7C2D320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PrEx>
        <w:trPr>
          <w:trHeight w:val="799" w:hRule="atLeast"/>
          <w:jc w:val="center"/>
        </w:trPr>
        <w:tc>
          <w:tcPr>
            <w:tcW w:w="926" w:type="dxa"/>
            <w:vAlign w:val="center"/>
          </w:tcPr>
          <w:p w14:paraId="6539C82E">
            <w:pPr>
              <w:pStyle w:val="14"/>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76" w:type="dxa"/>
            <w:vAlign w:val="center"/>
          </w:tcPr>
          <w:p w14:paraId="187E28E5">
            <w:pPr>
              <w:pStyle w:val="14"/>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986" w:type="dxa"/>
            <w:vAlign w:val="center"/>
          </w:tcPr>
          <w:p w14:paraId="7AA59331">
            <w:pPr>
              <w:pStyle w:val="14"/>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721D6BB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6" w:type="dxa"/>
            <w:vAlign w:val="center"/>
          </w:tcPr>
          <w:p w14:paraId="5D39165A">
            <w:pPr>
              <w:pStyle w:val="14"/>
              <w:shd w:val="clear" w:fill="FFFFFF" w:themeFill="background1"/>
              <w:spacing w:line="276"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w:t>
            </w:r>
          </w:p>
        </w:tc>
        <w:tc>
          <w:tcPr>
            <w:tcW w:w="1876" w:type="dxa"/>
            <w:vAlign w:val="center"/>
          </w:tcPr>
          <w:p w14:paraId="109E0ABA">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合同履行期限</w:t>
            </w:r>
          </w:p>
        </w:tc>
        <w:tc>
          <w:tcPr>
            <w:tcW w:w="6986" w:type="dxa"/>
            <w:vAlign w:val="center"/>
          </w:tcPr>
          <w:p w14:paraId="013BFEE2">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自合同签订之日起，至预算金额用完为止，医院每年对供货方进行质量、服务、履约能力考核，考核合格后续签合同。对不可抗力、招标人预算及业务调整、国家及省市集中采购等因素不能再实施本项目的，招标人将以书面形式告知中标人，并有权单方面终止项目合同的执行，招标人对此不承担任何责任。在合同期内出现两次以上质量问题退货或两次以上逾期交货的，整改期间或整改后仍出现同样问题，招标人有权解除合同。</w:t>
            </w:r>
          </w:p>
        </w:tc>
      </w:tr>
      <w:tr w14:paraId="5B6BB7B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26" w:type="dxa"/>
            <w:vAlign w:val="center"/>
          </w:tcPr>
          <w:p w14:paraId="2B2BD3FB">
            <w:pPr>
              <w:pStyle w:val="14"/>
              <w:shd w:val="clear"/>
              <w:spacing w:line="276"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w:t>
            </w:r>
          </w:p>
        </w:tc>
        <w:tc>
          <w:tcPr>
            <w:tcW w:w="1876" w:type="dxa"/>
            <w:vAlign w:val="center"/>
          </w:tcPr>
          <w:p w14:paraId="4C7FCA4E">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供货时限</w:t>
            </w:r>
          </w:p>
        </w:tc>
        <w:tc>
          <w:tcPr>
            <w:tcW w:w="6986" w:type="dxa"/>
            <w:vAlign w:val="center"/>
          </w:tcPr>
          <w:p w14:paraId="788F09EA">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contextualSpacing/>
              <w:textAlignment w:val="auto"/>
              <w:rPr>
                <w:rFonts w:hint="eastAsia"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z w:val="24"/>
                <w:szCs w:val="22"/>
                <w:highlight w:val="none"/>
                <w:lang w:val="en-US" w:eastAsia="zh-CN"/>
              </w:rPr>
              <w:t>接到招标人通知后，分批次按采购方要求完成所有中药饮片的供货，在接到采购通知后，急需中药饮片要求24小时配送到位，一般中药饮片不超过5个工作日，并能保证一周内多次配送，供货时需附带中药饮片每批次每种中药饮片检验报告书。</w:t>
            </w:r>
          </w:p>
        </w:tc>
      </w:tr>
      <w:tr w14:paraId="305D2E5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26" w:type="dxa"/>
            <w:vAlign w:val="center"/>
          </w:tcPr>
          <w:p w14:paraId="66C33763">
            <w:pPr>
              <w:pStyle w:val="14"/>
              <w:shd w:val="clear"/>
              <w:spacing w:line="276"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w:t>
            </w:r>
          </w:p>
        </w:tc>
        <w:tc>
          <w:tcPr>
            <w:tcW w:w="1876" w:type="dxa"/>
            <w:vAlign w:val="center"/>
          </w:tcPr>
          <w:p w14:paraId="06A0DF97">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6986" w:type="dxa"/>
            <w:vAlign w:val="center"/>
          </w:tcPr>
          <w:p w14:paraId="4FB92D31">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Cs/>
                <w:color w:val="auto"/>
                <w:spacing w:val="1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招标人指定地点。</w:t>
            </w:r>
          </w:p>
        </w:tc>
      </w:tr>
      <w:tr w14:paraId="14CFC5D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926" w:type="dxa"/>
            <w:vAlign w:val="center"/>
          </w:tcPr>
          <w:p w14:paraId="58D16F40">
            <w:pPr>
              <w:pStyle w:val="14"/>
              <w:shd w:val="clear"/>
              <w:spacing w:line="276"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p>
        </w:tc>
        <w:tc>
          <w:tcPr>
            <w:tcW w:w="1876" w:type="dxa"/>
            <w:vAlign w:val="center"/>
          </w:tcPr>
          <w:p w14:paraId="10AEE318">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保质期</w:t>
            </w:r>
          </w:p>
        </w:tc>
        <w:tc>
          <w:tcPr>
            <w:tcW w:w="6986" w:type="dxa"/>
            <w:vAlign w:val="center"/>
          </w:tcPr>
          <w:p w14:paraId="0D4F69F1">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以中药饮片生产企业标签标注的保质期为准，但中标人应确保招标人在收货时中药饮片标签标注剩余保质期天数不得低于总保质期天数的80%。</w:t>
            </w:r>
          </w:p>
        </w:tc>
      </w:tr>
      <w:tr w14:paraId="7620457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26" w:type="dxa"/>
            <w:vAlign w:val="center"/>
          </w:tcPr>
          <w:p w14:paraId="5E39F8F9">
            <w:pPr>
              <w:pStyle w:val="14"/>
              <w:shd w:val="clear"/>
              <w:spacing w:line="276"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5</w:t>
            </w:r>
          </w:p>
        </w:tc>
        <w:tc>
          <w:tcPr>
            <w:tcW w:w="1876" w:type="dxa"/>
            <w:vAlign w:val="center"/>
          </w:tcPr>
          <w:p w14:paraId="6232AA01">
            <w:pPr>
              <w:pStyle w:val="14"/>
              <w:shd w:val="clear"/>
              <w:spacing w:line="240"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付款方式</w:t>
            </w:r>
          </w:p>
        </w:tc>
        <w:tc>
          <w:tcPr>
            <w:tcW w:w="6986" w:type="dxa"/>
            <w:vAlign w:val="center"/>
          </w:tcPr>
          <w:p w14:paraId="686737CB">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1.双方以采购需求采购清单的单价和实际收到并检验合格的货物数量进行结算。</w:t>
            </w:r>
          </w:p>
          <w:p w14:paraId="1440BD0F">
            <w:pPr>
              <w:keepNext w:val="0"/>
              <w:keepLines w:val="0"/>
              <w:pageBreakBefore w:val="0"/>
              <w:shd w:val="clear"/>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2.分批次结算货款，每次交货验收合格后，供货商开具正确发票，30个工作日内一次性支付当批货款。</w:t>
            </w:r>
          </w:p>
        </w:tc>
      </w:tr>
      <w:tr w14:paraId="516DE2B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926" w:type="dxa"/>
            <w:vAlign w:val="center"/>
          </w:tcPr>
          <w:p w14:paraId="71BF2DF0">
            <w:pPr>
              <w:pStyle w:val="14"/>
              <w:shd w:val="clear"/>
              <w:spacing w:line="276"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w:t>
            </w:r>
          </w:p>
        </w:tc>
        <w:tc>
          <w:tcPr>
            <w:tcW w:w="1876" w:type="dxa"/>
            <w:vAlign w:val="center"/>
          </w:tcPr>
          <w:p w14:paraId="35C4F388">
            <w:pPr>
              <w:pStyle w:val="14"/>
              <w:shd w:val="clear"/>
              <w:spacing w:line="240" w:lineRule="auto"/>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履约保证金</w:t>
            </w:r>
          </w:p>
        </w:tc>
        <w:tc>
          <w:tcPr>
            <w:tcW w:w="6986" w:type="dxa"/>
            <w:vAlign w:val="center"/>
          </w:tcPr>
          <w:p w14:paraId="7E36BB32">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履约保证金的形式：以支票、汇票、本票或者金融机构、担保机构出具的保函等非现金形式提交</w:t>
            </w:r>
            <w:r>
              <w:rPr>
                <w:rFonts w:hint="eastAsia" w:ascii="仿宋" w:hAnsi="仿宋" w:eastAsia="仿宋" w:cs="仿宋"/>
                <w:color w:val="auto"/>
                <w:sz w:val="24"/>
                <w:szCs w:val="22"/>
                <w:highlight w:val="none"/>
                <w:lang w:eastAsia="zh-CN"/>
              </w:rPr>
              <w:t>；</w:t>
            </w:r>
          </w:p>
          <w:p w14:paraId="74514AE4">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履约保证金的金额：</w:t>
            </w:r>
            <w:r>
              <w:rPr>
                <w:rFonts w:hint="eastAsia" w:ascii="仿宋" w:hAnsi="仿宋" w:eastAsia="仿宋" w:cs="仿宋"/>
                <w:color w:val="auto"/>
                <w:sz w:val="24"/>
                <w:szCs w:val="22"/>
                <w:highlight w:val="none"/>
                <w:lang w:val="en-US" w:eastAsia="zh-CN"/>
              </w:rPr>
              <w:t>预算</w:t>
            </w:r>
            <w:r>
              <w:rPr>
                <w:rFonts w:hint="eastAsia" w:ascii="仿宋" w:hAnsi="仿宋" w:eastAsia="仿宋" w:cs="仿宋"/>
                <w:color w:val="auto"/>
                <w:sz w:val="24"/>
                <w:szCs w:val="22"/>
                <w:highlight w:val="none"/>
              </w:rPr>
              <w:t>金额的5%</w:t>
            </w:r>
            <w:r>
              <w:rPr>
                <w:rFonts w:hint="eastAsia" w:ascii="仿宋" w:hAnsi="仿宋" w:eastAsia="仿宋" w:cs="仿宋"/>
                <w:color w:val="auto"/>
                <w:sz w:val="24"/>
                <w:szCs w:val="22"/>
                <w:highlight w:val="none"/>
                <w:lang w:eastAsia="zh-CN"/>
              </w:rPr>
              <w:t>；</w:t>
            </w:r>
          </w:p>
          <w:p w14:paraId="758F20C9">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中标人</w:t>
            </w:r>
            <w:r>
              <w:rPr>
                <w:rFonts w:hint="eastAsia" w:ascii="仿宋" w:hAnsi="仿宋" w:eastAsia="仿宋" w:cs="仿宋"/>
                <w:color w:val="auto"/>
                <w:sz w:val="24"/>
                <w:szCs w:val="22"/>
                <w:highlight w:val="none"/>
              </w:rPr>
              <w:t>不按规定提交履约保证金</w:t>
            </w:r>
            <w:r>
              <w:rPr>
                <w:rFonts w:hint="eastAsia" w:ascii="仿宋" w:hAnsi="仿宋" w:eastAsia="仿宋" w:cs="仿宋"/>
                <w:color w:val="auto"/>
                <w:sz w:val="24"/>
                <w:szCs w:val="22"/>
                <w:highlight w:val="none"/>
                <w:lang w:val="en-US" w:eastAsia="zh-CN"/>
              </w:rPr>
              <w:t>的，将按照相关法律法规执行</w:t>
            </w:r>
          </w:p>
          <w:p w14:paraId="1BE91FB3">
            <w:pPr>
              <w:pStyle w:val="14"/>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履约保证金由</w:t>
            </w:r>
            <w:r>
              <w:rPr>
                <w:rFonts w:hint="eastAsia" w:ascii="仿宋" w:hAnsi="仿宋" w:eastAsia="仿宋" w:cs="仿宋"/>
                <w:color w:val="auto"/>
                <w:sz w:val="24"/>
                <w:szCs w:val="22"/>
                <w:highlight w:val="none"/>
                <w:lang w:val="en-US" w:eastAsia="zh-CN"/>
              </w:rPr>
              <w:t>招标人</w:t>
            </w:r>
            <w:r>
              <w:rPr>
                <w:rFonts w:hint="eastAsia" w:ascii="仿宋" w:hAnsi="仿宋" w:eastAsia="仿宋" w:cs="仿宋"/>
                <w:color w:val="auto"/>
                <w:sz w:val="24"/>
                <w:szCs w:val="22"/>
                <w:highlight w:val="none"/>
              </w:rPr>
              <w:t>代管，</w:t>
            </w:r>
            <w:r>
              <w:rPr>
                <w:rFonts w:hint="eastAsia" w:ascii="仿宋" w:hAnsi="仿宋" w:eastAsia="仿宋" w:cs="仿宋"/>
                <w:color w:val="auto"/>
                <w:sz w:val="24"/>
                <w:szCs w:val="22"/>
                <w:highlight w:val="none"/>
                <w:lang w:eastAsia="zh-CN"/>
              </w:rPr>
              <w:t>待合同有效期结束后若无违约行为，</w:t>
            </w:r>
            <w:r>
              <w:rPr>
                <w:rFonts w:hint="eastAsia" w:ascii="仿宋" w:hAnsi="仿宋" w:eastAsia="仿宋" w:cs="仿宋"/>
                <w:color w:val="auto"/>
                <w:sz w:val="24"/>
                <w:szCs w:val="24"/>
                <w:highlight w:val="none"/>
                <w:lang w:val="en-US" w:eastAsia="zh-CN" w:bidi="ar-SA"/>
              </w:rPr>
              <w:t>60个日历天内无息，以转账支票\电汇方式依法依规退还</w:t>
            </w:r>
            <w:r>
              <w:rPr>
                <w:rFonts w:hint="eastAsia" w:ascii="仿宋" w:hAnsi="仿宋" w:eastAsia="仿宋" w:cs="仿宋"/>
                <w:color w:val="auto"/>
                <w:sz w:val="24"/>
                <w:szCs w:val="22"/>
                <w:highlight w:val="none"/>
                <w:lang w:eastAsia="zh-CN"/>
              </w:rPr>
              <w:t>。</w:t>
            </w:r>
          </w:p>
        </w:tc>
      </w:tr>
    </w:tbl>
    <w:p w14:paraId="1573DDC2">
      <w:pPr>
        <w:shd w:val="clear"/>
        <w:rPr>
          <w:rFonts w:hint="eastAsia" w:ascii="仿宋" w:hAnsi="仿宋" w:eastAsia="仿宋" w:cs="仿宋"/>
          <w:color w:val="auto"/>
          <w:highlight w:val="none"/>
        </w:rPr>
      </w:pPr>
    </w:p>
    <w:p w14:paraId="5A3595BE">
      <w:pPr>
        <w:shd w:val="clear"/>
        <w:autoSpaceDE w:val="0"/>
        <w:autoSpaceDN w:val="0"/>
        <w:adjustRightInd w:val="0"/>
        <w:spacing w:line="360" w:lineRule="auto"/>
        <w:ind w:right="-72"/>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u w:val="single"/>
        </w:rPr>
        <w:t>本合同样式仅供参考，具体合同以</w:t>
      </w:r>
      <w:r>
        <w:rPr>
          <w:rFonts w:hint="eastAsia" w:ascii="仿宋" w:hAnsi="仿宋" w:eastAsia="仿宋" w:cs="仿宋"/>
          <w:b/>
          <w:color w:val="auto"/>
          <w:sz w:val="24"/>
          <w:highlight w:val="none"/>
          <w:u w:val="single"/>
          <w:lang w:eastAsia="zh-CN"/>
        </w:rPr>
        <w:t>招标人</w:t>
      </w:r>
      <w:r>
        <w:rPr>
          <w:rFonts w:hint="eastAsia" w:ascii="仿宋" w:hAnsi="仿宋" w:eastAsia="仿宋" w:cs="仿宋"/>
          <w:b/>
          <w:color w:val="auto"/>
          <w:sz w:val="24"/>
          <w:highlight w:val="none"/>
          <w:u w:val="single"/>
        </w:rPr>
        <w:t>与中标人签订的合同为准</w:t>
      </w:r>
      <w:r>
        <w:rPr>
          <w:rFonts w:hint="eastAsia" w:ascii="仿宋" w:hAnsi="仿宋" w:eastAsia="仿宋" w:cs="仿宋"/>
          <w:color w:val="auto"/>
          <w:sz w:val="24"/>
          <w:highlight w:val="none"/>
        </w:rPr>
        <w:t>）</w:t>
      </w:r>
    </w:p>
    <w:p w14:paraId="02F3E357">
      <w:pPr>
        <w:bidi w:val="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政府</w:t>
      </w:r>
      <w:r>
        <w:rPr>
          <w:rFonts w:hint="eastAsia" w:ascii="仿宋" w:hAnsi="仿宋" w:eastAsia="仿宋" w:cs="仿宋"/>
          <w:b/>
          <w:bCs/>
          <w:sz w:val="28"/>
          <w:szCs w:val="28"/>
        </w:rPr>
        <w:t>采购合同书</w:t>
      </w:r>
    </w:p>
    <w:p w14:paraId="2FFF72CA">
      <w:pPr>
        <w:bidi w:val="0"/>
        <w:jc w:val="center"/>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公开招标）</w:t>
      </w:r>
    </w:p>
    <w:p w14:paraId="5535F208">
      <w:pPr>
        <w:bidi w:val="0"/>
        <w:rPr>
          <w:rFonts w:hint="eastAsia" w:ascii="仿宋" w:hAnsi="仿宋" w:eastAsia="仿宋" w:cs="仿宋"/>
          <w:b/>
          <w:bCs/>
          <w:sz w:val="28"/>
          <w:szCs w:val="28"/>
          <w:lang w:eastAsia="zh-CN"/>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永胜县中医医院中药饮片采购项目</w:t>
      </w:r>
    </w:p>
    <w:p w14:paraId="48A787A2">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p>
    <w:p w14:paraId="2BEC32E0">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（招标人）</w:t>
      </w:r>
    </w:p>
    <w:p w14:paraId="78390898">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永胜县中医医院</w:t>
      </w:r>
    </w:p>
    <w:p w14:paraId="0AE4EEDC">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地址：丽江市永胜县沧阳路</w:t>
      </w:r>
    </w:p>
    <w:p w14:paraId="66042F3A">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邮编：674100</w:t>
      </w:r>
    </w:p>
    <w:p w14:paraId="3040DA38">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签章或签字</w:t>
      </w:r>
      <w:r>
        <w:rPr>
          <w:rFonts w:hint="eastAsia" w:ascii="仿宋" w:hAnsi="仿宋" w:eastAsia="仿宋" w:cs="仿宋"/>
          <w:color w:val="auto"/>
          <w:sz w:val="24"/>
          <w:szCs w:val="24"/>
          <w:highlight w:val="none"/>
          <w:lang w:eastAsia="zh-CN"/>
        </w:rPr>
        <w:t>）：</w:t>
      </w:r>
    </w:p>
    <w:p w14:paraId="0F5AB958">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分管领导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24C782F9">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val="en-US" w:eastAsia="zh-CN"/>
        </w:rPr>
        <w:t>0888-6521907</w:t>
      </w:r>
    </w:p>
    <w:p w14:paraId="4AC5E6A1">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p>
    <w:p w14:paraId="25FA7935">
      <w:pPr>
        <w:pStyle w:val="10"/>
        <w:keepNext w:val="0"/>
        <w:keepLines w:val="0"/>
        <w:pageBreakBefore w:val="0"/>
        <w:widowControl w:val="0"/>
        <w:shd w:val="clear" w:fill="FFFFFF" w:themeFill="background1"/>
        <w:kinsoku/>
        <w:wordWrap/>
        <w:overflowPunct/>
        <w:topLinePunct w:val="0"/>
        <w:autoSpaceDE/>
        <w:autoSpaceDN/>
        <w:bidi w:val="0"/>
        <w:snapToGrid/>
        <w:ind w:left="630" w:leftChars="300"/>
        <w:textAlignment w:val="auto"/>
        <w:rPr>
          <w:rFonts w:hint="eastAsia" w:ascii="仿宋" w:hAnsi="仿宋" w:eastAsia="仿宋" w:cs="仿宋"/>
          <w:color w:val="auto"/>
          <w:highlight w:val="none"/>
        </w:rPr>
      </w:pPr>
    </w:p>
    <w:p w14:paraId="6386C837">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中标人）</w:t>
      </w:r>
    </w:p>
    <w:p w14:paraId="5615454B">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p w14:paraId="79DBA13B">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FA36249">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57A078D8">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签章或签字</w:t>
      </w:r>
      <w:r>
        <w:rPr>
          <w:rFonts w:hint="eastAsia" w:ascii="仿宋" w:hAnsi="仿宋" w:eastAsia="仿宋" w:cs="仿宋"/>
          <w:color w:val="auto"/>
          <w:sz w:val="24"/>
          <w:szCs w:val="24"/>
          <w:highlight w:val="none"/>
          <w:lang w:eastAsia="zh-CN"/>
        </w:rPr>
        <w:t>）：</w:t>
      </w:r>
    </w:p>
    <w:p w14:paraId="2FA83C41">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307E806A">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乙方户名：</w:t>
      </w:r>
    </w:p>
    <w:p w14:paraId="369A53C1">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乙方开户行：</w:t>
      </w:r>
    </w:p>
    <w:p w14:paraId="2D208015">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乙方账号：</w:t>
      </w:r>
    </w:p>
    <w:p w14:paraId="224FD13A">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p w14:paraId="24A69F2C">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p>
    <w:p w14:paraId="3F3702AA">
      <w:pPr>
        <w:pStyle w:val="10"/>
        <w:keepNext w:val="0"/>
        <w:keepLines w:val="0"/>
        <w:pageBreakBefore w:val="0"/>
        <w:widowControl w:val="0"/>
        <w:shd w:val="clear" w:fill="FFFFFF" w:themeFill="background1"/>
        <w:kinsoku/>
        <w:wordWrap/>
        <w:overflowPunct/>
        <w:topLinePunct w:val="0"/>
        <w:autoSpaceDE/>
        <w:autoSpaceDN/>
        <w:bidi w:val="0"/>
        <w:snapToGrid/>
        <w:ind w:left="630" w:leftChars="300"/>
        <w:textAlignment w:val="auto"/>
        <w:rPr>
          <w:rFonts w:hint="eastAsia" w:ascii="仿宋" w:hAnsi="仿宋" w:eastAsia="仿宋" w:cs="仿宋"/>
          <w:color w:val="auto"/>
          <w:highlight w:val="none"/>
        </w:rPr>
      </w:pPr>
    </w:p>
    <w:p w14:paraId="7E638681">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lang w:eastAsia="zh-CN"/>
        </w:rPr>
        <w:t>永胜县中医医院</w:t>
      </w:r>
    </w:p>
    <w:p w14:paraId="5E578190">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p>
    <w:p w14:paraId="73A2B8BD">
      <w:pPr>
        <w:keepNext w:val="0"/>
        <w:keepLines w:val="0"/>
        <w:pageBreakBefore w:val="0"/>
        <w:widowControl w:val="0"/>
        <w:shd w:val="clear" w:fill="FFFFFF" w:themeFill="background1"/>
        <w:kinsoku/>
        <w:wordWrap/>
        <w:overflowPunct/>
        <w:topLinePunct w:val="0"/>
        <w:autoSpaceDE/>
        <w:autoSpaceDN/>
        <w:bidi w:val="0"/>
        <w:snapToGrid/>
        <w:spacing w:line="360" w:lineRule="auto"/>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w:t>
      </w:r>
    </w:p>
    <w:p w14:paraId="7ABC33A6">
      <w:pPr>
        <w:shd w:val="clear" w:fill="FFFFFF" w:themeFill="background1"/>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434DF5C8">
      <w:pPr>
        <w:pStyle w:val="14"/>
        <w:shd w:val="clear" w:fill="FFFFFF" w:themeFill="background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甲乙双方</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永胜县中医医院</w:t>
      </w:r>
      <w:r>
        <w:rPr>
          <w:rFonts w:hint="eastAsia" w:ascii="仿宋" w:hAnsi="仿宋" w:eastAsia="仿宋" w:cs="仿宋"/>
          <w:color w:val="auto"/>
          <w:sz w:val="24"/>
          <w:highlight w:val="none"/>
        </w:rPr>
        <w:t>委托云南蓝本招标咨询有限公司组织的项目编号为</w:t>
      </w:r>
      <w:r>
        <w:rPr>
          <w:rFonts w:hint="eastAsia" w:ascii="仿宋" w:hAnsi="仿宋" w:eastAsia="仿宋" w:cs="仿宋"/>
          <w:color w:val="auto"/>
          <w:sz w:val="24"/>
          <w:highlight w:val="none"/>
          <w:lang w:eastAsia="zh-CN"/>
        </w:rPr>
        <w:t>LJZC2025-G1-00112-YNLB-0058</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永胜县中医医院中药饮片采购项目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通过</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lang w:eastAsia="zh-CN"/>
        </w:rPr>
        <w:t>的采购结果</w:t>
      </w:r>
      <w:r>
        <w:rPr>
          <w:rFonts w:hint="eastAsia" w:ascii="仿宋" w:hAnsi="仿宋" w:eastAsia="仿宋" w:cs="仿宋"/>
          <w:color w:val="auto"/>
          <w:sz w:val="24"/>
          <w:highlight w:val="none"/>
        </w:rPr>
        <w:t>，确定乙方为该项目</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。为了保护供需各方合法权益，甲乙双方依照《中华人民共和国民法典》及其相关法律、行政法规，遵循平等、自愿、公平和诚实信用的原则，经双方协定达成一致，签订以下内容：</w:t>
      </w:r>
    </w:p>
    <w:p w14:paraId="75B877AF">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一览表</w:t>
      </w:r>
    </w:p>
    <w:tbl>
      <w:tblPr>
        <w:tblStyle w:val="23"/>
        <w:tblW w:w="86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10"/>
        <w:gridCol w:w="1215"/>
        <w:gridCol w:w="1402"/>
        <w:gridCol w:w="975"/>
        <w:gridCol w:w="1217"/>
        <w:gridCol w:w="1037"/>
        <w:gridCol w:w="1350"/>
      </w:tblGrid>
      <w:tr w14:paraId="64221E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jc w:val="center"/>
        </w:trPr>
        <w:tc>
          <w:tcPr>
            <w:tcW w:w="1410" w:type="dxa"/>
            <w:tcBorders>
              <w:top w:val="outset" w:color="auto" w:sz="6" w:space="0"/>
              <w:left w:val="outset" w:color="auto" w:sz="6" w:space="0"/>
              <w:bottom w:val="outset" w:color="auto" w:sz="6" w:space="0"/>
              <w:right w:val="outset" w:color="auto" w:sz="6" w:space="0"/>
            </w:tcBorders>
            <w:noWrap w:val="0"/>
            <w:vAlign w:val="center"/>
          </w:tcPr>
          <w:p w14:paraId="377AE09D">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5" w:type="dxa"/>
            <w:tcBorders>
              <w:top w:val="outset" w:color="auto" w:sz="6" w:space="0"/>
              <w:left w:val="outset" w:color="auto" w:sz="6" w:space="0"/>
              <w:bottom w:val="outset" w:color="auto" w:sz="6" w:space="0"/>
              <w:right w:val="outset" w:color="auto" w:sz="6" w:space="0"/>
            </w:tcBorders>
            <w:noWrap w:val="0"/>
            <w:vAlign w:val="center"/>
          </w:tcPr>
          <w:p w14:paraId="633F0250">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名称</w:t>
            </w:r>
          </w:p>
        </w:tc>
        <w:tc>
          <w:tcPr>
            <w:tcW w:w="1402" w:type="dxa"/>
            <w:tcBorders>
              <w:top w:val="outset" w:color="auto" w:sz="6" w:space="0"/>
              <w:left w:val="outset" w:color="auto" w:sz="6" w:space="0"/>
              <w:bottom w:val="outset" w:color="auto" w:sz="6" w:space="0"/>
              <w:right w:val="outset" w:color="auto" w:sz="6" w:space="0"/>
            </w:tcBorders>
            <w:noWrap w:val="0"/>
            <w:vAlign w:val="center"/>
          </w:tcPr>
          <w:p w14:paraId="2EEC7550">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规格</w:t>
            </w:r>
          </w:p>
        </w:tc>
        <w:tc>
          <w:tcPr>
            <w:tcW w:w="975" w:type="dxa"/>
            <w:tcBorders>
              <w:top w:val="outset" w:color="auto" w:sz="6" w:space="0"/>
              <w:left w:val="outset" w:color="auto" w:sz="6" w:space="0"/>
              <w:bottom w:val="outset" w:color="auto" w:sz="6" w:space="0"/>
              <w:right w:val="outset" w:color="auto" w:sz="6" w:space="0"/>
            </w:tcBorders>
            <w:noWrap w:val="0"/>
            <w:vAlign w:val="center"/>
          </w:tcPr>
          <w:p w14:paraId="612CD7F5">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1217" w:type="dxa"/>
            <w:tcBorders>
              <w:top w:val="outset" w:color="auto" w:sz="6" w:space="0"/>
              <w:left w:val="outset" w:color="auto" w:sz="6" w:space="0"/>
              <w:bottom w:val="outset" w:color="auto" w:sz="6" w:space="0"/>
              <w:right w:val="outset" w:color="auto" w:sz="6" w:space="0"/>
            </w:tcBorders>
            <w:noWrap w:val="0"/>
            <w:vAlign w:val="center"/>
          </w:tcPr>
          <w:p w14:paraId="75CC5EF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w:t>
            </w:r>
          </w:p>
        </w:tc>
        <w:tc>
          <w:tcPr>
            <w:tcW w:w="1037" w:type="dxa"/>
            <w:tcBorders>
              <w:top w:val="outset" w:color="auto" w:sz="6" w:space="0"/>
              <w:left w:val="outset" w:color="auto" w:sz="6" w:space="0"/>
              <w:bottom w:val="outset" w:color="auto" w:sz="6" w:space="0"/>
              <w:right w:val="outset" w:color="auto" w:sz="6" w:space="0"/>
            </w:tcBorders>
            <w:noWrap w:val="0"/>
            <w:vAlign w:val="center"/>
          </w:tcPr>
          <w:p w14:paraId="54F40CEA">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合价</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9F70921">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生产厂家</w:t>
            </w:r>
          </w:p>
        </w:tc>
      </w:tr>
      <w:tr w14:paraId="3FD3CB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jc w:val="center"/>
        </w:trPr>
        <w:tc>
          <w:tcPr>
            <w:tcW w:w="1410" w:type="dxa"/>
            <w:tcBorders>
              <w:top w:val="outset" w:color="auto" w:sz="6" w:space="0"/>
              <w:left w:val="outset" w:color="auto" w:sz="6" w:space="0"/>
              <w:bottom w:val="outset" w:color="auto" w:sz="6" w:space="0"/>
              <w:right w:val="outset" w:color="auto" w:sz="6" w:space="0"/>
            </w:tcBorders>
            <w:noWrap w:val="0"/>
            <w:vAlign w:val="center"/>
          </w:tcPr>
          <w:p w14:paraId="2DA23BA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5" w:type="dxa"/>
            <w:tcBorders>
              <w:top w:val="outset" w:color="auto" w:sz="6" w:space="0"/>
              <w:left w:val="outset" w:color="auto" w:sz="6" w:space="0"/>
              <w:bottom w:val="outset" w:color="auto" w:sz="6" w:space="0"/>
              <w:right w:val="outset" w:color="auto" w:sz="6" w:space="0"/>
            </w:tcBorders>
            <w:noWrap w:val="0"/>
            <w:vAlign w:val="center"/>
          </w:tcPr>
          <w:p w14:paraId="5ECDC8DD">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402" w:type="dxa"/>
            <w:tcBorders>
              <w:top w:val="outset" w:color="auto" w:sz="6" w:space="0"/>
              <w:left w:val="outset" w:color="auto" w:sz="6" w:space="0"/>
              <w:bottom w:val="outset" w:color="auto" w:sz="6" w:space="0"/>
              <w:right w:val="outset" w:color="auto" w:sz="6" w:space="0"/>
            </w:tcBorders>
            <w:noWrap w:val="0"/>
            <w:vAlign w:val="center"/>
          </w:tcPr>
          <w:p w14:paraId="49EC1CF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975" w:type="dxa"/>
            <w:tcBorders>
              <w:top w:val="outset" w:color="auto" w:sz="6" w:space="0"/>
              <w:left w:val="outset" w:color="auto" w:sz="6" w:space="0"/>
              <w:bottom w:val="outset" w:color="auto" w:sz="6" w:space="0"/>
              <w:right w:val="outset" w:color="auto" w:sz="6" w:space="0"/>
            </w:tcBorders>
            <w:noWrap w:val="0"/>
            <w:vAlign w:val="center"/>
          </w:tcPr>
          <w:p w14:paraId="732D16C0">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7" w:type="dxa"/>
            <w:tcBorders>
              <w:top w:val="outset" w:color="auto" w:sz="6" w:space="0"/>
              <w:left w:val="outset" w:color="auto" w:sz="6" w:space="0"/>
              <w:bottom w:val="outset" w:color="auto" w:sz="6" w:space="0"/>
              <w:right w:val="outset" w:color="auto" w:sz="6" w:space="0"/>
            </w:tcBorders>
            <w:noWrap w:val="0"/>
            <w:vAlign w:val="center"/>
          </w:tcPr>
          <w:p w14:paraId="3DFE3F9B">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037" w:type="dxa"/>
            <w:tcBorders>
              <w:top w:val="outset" w:color="auto" w:sz="6" w:space="0"/>
              <w:left w:val="outset" w:color="auto" w:sz="6" w:space="0"/>
              <w:bottom w:val="outset" w:color="auto" w:sz="6" w:space="0"/>
              <w:right w:val="outset" w:color="auto" w:sz="6" w:space="0"/>
            </w:tcBorders>
            <w:noWrap w:val="0"/>
            <w:vAlign w:val="center"/>
          </w:tcPr>
          <w:p w14:paraId="3802B439">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0B6AD44">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r>
      <w:tr w14:paraId="78ADD9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jc w:val="center"/>
        </w:trPr>
        <w:tc>
          <w:tcPr>
            <w:tcW w:w="1410" w:type="dxa"/>
            <w:tcBorders>
              <w:top w:val="outset" w:color="auto" w:sz="6" w:space="0"/>
              <w:left w:val="outset" w:color="auto" w:sz="6" w:space="0"/>
              <w:bottom w:val="outset" w:color="auto" w:sz="6" w:space="0"/>
              <w:right w:val="outset" w:color="auto" w:sz="6" w:space="0"/>
            </w:tcBorders>
            <w:noWrap w:val="0"/>
            <w:vAlign w:val="center"/>
          </w:tcPr>
          <w:p w14:paraId="1F03990C">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5" w:type="dxa"/>
            <w:tcBorders>
              <w:top w:val="outset" w:color="auto" w:sz="6" w:space="0"/>
              <w:left w:val="outset" w:color="auto" w:sz="6" w:space="0"/>
              <w:bottom w:val="outset" w:color="auto" w:sz="6" w:space="0"/>
              <w:right w:val="outset" w:color="auto" w:sz="6" w:space="0"/>
            </w:tcBorders>
            <w:noWrap w:val="0"/>
            <w:vAlign w:val="center"/>
          </w:tcPr>
          <w:p w14:paraId="4C160821">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402" w:type="dxa"/>
            <w:tcBorders>
              <w:top w:val="outset" w:color="auto" w:sz="6" w:space="0"/>
              <w:left w:val="outset" w:color="auto" w:sz="6" w:space="0"/>
              <w:bottom w:val="outset" w:color="auto" w:sz="6" w:space="0"/>
              <w:right w:val="outset" w:color="auto" w:sz="6" w:space="0"/>
            </w:tcBorders>
            <w:noWrap w:val="0"/>
            <w:vAlign w:val="center"/>
          </w:tcPr>
          <w:p w14:paraId="345FD2AA">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975" w:type="dxa"/>
            <w:tcBorders>
              <w:top w:val="outset" w:color="auto" w:sz="6" w:space="0"/>
              <w:left w:val="outset" w:color="auto" w:sz="6" w:space="0"/>
              <w:bottom w:val="outset" w:color="auto" w:sz="6" w:space="0"/>
              <w:right w:val="outset" w:color="auto" w:sz="6" w:space="0"/>
            </w:tcBorders>
            <w:noWrap w:val="0"/>
            <w:vAlign w:val="center"/>
          </w:tcPr>
          <w:p w14:paraId="5E95E57E">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7" w:type="dxa"/>
            <w:tcBorders>
              <w:top w:val="outset" w:color="auto" w:sz="6" w:space="0"/>
              <w:left w:val="outset" w:color="auto" w:sz="6" w:space="0"/>
              <w:bottom w:val="outset" w:color="auto" w:sz="6" w:space="0"/>
              <w:right w:val="outset" w:color="auto" w:sz="6" w:space="0"/>
            </w:tcBorders>
            <w:noWrap w:val="0"/>
            <w:vAlign w:val="center"/>
          </w:tcPr>
          <w:p w14:paraId="39E6862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037" w:type="dxa"/>
            <w:tcBorders>
              <w:top w:val="outset" w:color="auto" w:sz="6" w:space="0"/>
              <w:left w:val="outset" w:color="auto" w:sz="6" w:space="0"/>
              <w:bottom w:val="outset" w:color="auto" w:sz="6" w:space="0"/>
              <w:right w:val="outset" w:color="auto" w:sz="6" w:space="0"/>
            </w:tcBorders>
            <w:noWrap w:val="0"/>
            <w:vAlign w:val="center"/>
          </w:tcPr>
          <w:p w14:paraId="3F01172F">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5CAC07E">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r>
      <w:tr w14:paraId="1FD284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jc w:val="center"/>
        </w:trPr>
        <w:tc>
          <w:tcPr>
            <w:tcW w:w="1410" w:type="dxa"/>
            <w:tcBorders>
              <w:top w:val="outset" w:color="auto" w:sz="6" w:space="0"/>
              <w:left w:val="outset" w:color="auto" w:sz="6" w:space="0"/>
              <w:bottom w:val="outset" w:color="auto" w:sz="6" w:space="0"/>
              <w:right w:val="outset" w:color="auto" w:sz="6" w:space="0"/>
            </w:tcBorders>
            <w:noWrap w:val="0"/>
            <w:vAlign w:val="center"/>
          </w:tcPr>
          <w:p w14:paraId="5FF75442">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5" w:type="dxa"/>
            <w:tcBorders>
              <w:top w:val="outset" w:color="auto" w:sz="6" w:space="0"/>
              <w:left w:val="outset" w:color="auto" w:sz="6" w:space="0"/>
              <w:bottom w:val="outset" w:color="auto" w:sz="6" w:space="0"/>
              <w:right w:val="outset" w:color="auto" w:sz="6" w:space="0"/>
            </w:tcBorders>
            <w:noWrap w:val="0"/>
            <w:vAlign w:val="center"/>
          </w:tcPr>
          <w:p w14:paraId="4346F9BE">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402" w:type="dxa"/>
            <w:tcBorders>
              <w:top w:val="outset" w:color="auto" w:sz="6" w:space="0"/>
              <w:left w:val="outset" w:color="auto" w:sz="6" w:space="0"/>
              <w:bottom w:val="outset" w:color="auto" w:sz="6" w:space="0"/>
              <w:right w:val="outset" w:color="auto" w:sz="6" w:space="0"/>
            </w:tcBorders>
            <w:noWrap w:val="0"/>
            <w:vAlign w:val="center"/>
          </w:tcPr>
          <w:p w14:paraId="094D881E">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975" w:type="dxa"/>
            <w:tcBorders>
              <w:top w:val="outset" w:color="auto" w:sz="6" w:space="0"/>
              <w:left w:val="outset" w:color="auto" w:sz="6" w:space="0"/>
              <w:bottom w:val="outset" w:color="auto" w:sz="6" w:space="0"/>
              <w:right w:val="outset" w:color="auto" w:sz="6" w:space="0"/>
            </w:tcBorders>
            <w:noWrap w:val="0"/>
            <w:vAlign w:val="center"/>
          </w:tcPr>
          <w:p w14:paraId="53B16BD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7" w:type="dxa"/>
            <w:tcBorders>
              <w:top w:val="outset" w:color="auto" w:sz="6" w:space="0"/>
              <w:left w:val="outset" w:color="auto" w:sz="6" w:space="0"/>
              <w:bottom w:val="outset" w:color="auto" w:sz="6" w:space="0"/>
              <w:right w:val="outset" w:color="auto" w:sz="6" w:space="0"/>
            </w:tcBorders>
            <w:noWrap w:val="0"/>
            <w:vAlign w:val="center"/>
          </w:tcPr>
          <w:p w14:paraId="151E513E">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037" w:type="dxa"/>
            <w:tcBorders>
              <w:top w:val="outset" w:color="auto" w:sz="6" w:space="0"/>
              <w:left w:val="outset" w:color="auto" w:sz="6" w:space="0"/>
              <w:bottom w:val="outset" w:color="auto" w:sz="6" w:space="0"/>
              <w:right w:val="outset" w:color="auto" w:sz="6" w:space="0"/>
            </w:tcBorders>
            <w:noWrap w:val="0"/>
            <w:vAlign w:val="center"/>
          </w:tcPr>
          <w:p w14:paraId="0E05293B">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02509E41">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r>
      <w:tr w14:paraId="41E47F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jc w:val="center"/>
        </w:trPr>
        <w:tc>
          <w:tcPr>
            <w:tcW w:w="1410" w:type="dxa"/>
            <w:tcBorders>
              <w:top w:val="outset" w:color="auto" w:sz="6" w:space="0"/>
              <w:left w:val="outset" w:color="auto" w:sz="6" w:space="0"/>
              <w:bottom w:val="outset" w:color="auto" w:sz="6" w:space="0"/>
              <w:right w:val="outset" w:color="auto" w:sz="6" w:space="0"/>
            </w:tcBorders>
            <w:noWrap w:val="0"/>
            <w:vAlign w:val="center"/>
          </w:tcPr>
          <w:p w14:paraId="14CC0DC6">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5" w:type="dxa"/>
            <w:tcBorders>
              <w:top w:val="outset" w:color="auto" w:sz="6" w:space="0"/>
              <w:left w:val="outset" w:color="auto" w:sz="6" w:space="0"/>
              <w:bottom w:val="outset" w:color="auto" w:sz="6" w:space="0"/>
              <w:right w:val="outset" w:color="auto" w:sz="6" w:space="0"/>
            </w:tcBorders>
            <w:noWrap w:val="0"/>
            <w:vAlign w:val="center"/>
          </w:tcPr>
          <w:p w14:paraId="3D290AB5">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402" w:type="dxa"/>
            <w:tcBorders>
              <w:top w:val="outset" w:color="auto" w:sz="6" w:space="0"/>
              <w:left w:val="outset" w:color="auto" w:sz="6" w:space="0"/>
              <w:bottom w:val="outset" w:color="auto" w:sz="6" w:space="0"/>
              <w:right w:val="outset" w:color="auto" w:sz="6" w:space="0"/>
            </w:tcBorders>
            <w:noWrap w:val="0"/>
            <w:vAlign w:val="center"/>
          </w:tcPr>
          <w:p w14:paraId="1C1EBF0F">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975" w:type="dxa"/>
            <w:tcBorders>
              <w:top w:val="outset" w:color="auto" w:sz="6" w:space="0"/>
              <w:left w:val="outset" w:color="auto" w:sz="6" w:space="0"/>
              <w:bottom w:val="outset" w:color="auto" w:sz="6" w:space="0"/>
              <w:right w:val="outset" w:color="auto" w:sz="6" w:space="0"/>
            </w:tcBorders>
            <w:noWrap w:val="0"/>
            <w:vAlign w:val="center"/>
          </w:tcPr>
          <w:p w14:paraId="1E698514">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7" w:type="dxa"/>
            <w:tcBorders>
              <w:top w:val="outset" w:color="auto" w:sz="6" w:space="0"/>
              <w:left w:val="outset" w:color="auto" w:sz="6" w:space="0"/>
              <w:bottom w:val="outset" w:color="auto" w:sz="6" w:space="0"/>
              <w:right w:val="outset" w:color="auto" w:sz="6" w:space="0"/>
            </w:tcBorders>
            <w:noWrap w:val="0"/>
            <w:vAlign w:val="center"/>
          </w:tcPr>
          <w:p w14:paraId="504A71EE">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037" w:type="dxa"/>
            <w:tcBorders>
              <w:top w:val="outset" w:color="auto" w:sz="6" w:space="0"/>
              <w:left w:val="outset" w:color="auto" w:sz="6" w:space="0"/>
              <w:bottom w:val="outset" w:color="auto" w:sz="6" w:space="0"/>
              <w:right w:val="outset" w:color="auto" w:sz="6" w:space="0"/>
            </w:tcBorders>
            <w:noWrap w:val="0"/>
            <w:vAlign w:val="center"/>
          </w:tcPr>
          <w:p w14:paraId="383A9B01">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12C1422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r>
      <w:tr w14:paraId="4FF8CE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jc w:val="center"/>
        </w:trPr>
        <w:tc>
          <w:tcPr>
            <w:tcW w:w="1410" w:type="dxa"/>
            <w:tcBorders>
              <w:top w:val="outset" w:color="auto" w:sz="6" w:space="0"/>
              <w:left w:val="outset" w:color="auto" w:sz="6" w:space="0"/>
              <w:bottom w:val="outset" w:color="auto" w:sz="6" w:space="0"/>
              <w:right w:val="outset" w:color="auto" w:sz="6" w:space="0"/>
            </w:tcBorders>
            <w:noWrap w:val="0"/>
            <w:vAlign w:val="center"/>
          </w:tcPr>
          <w:p w14:paraId="59801F7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5" w:type="dxa"/>
            <w:tcBorders>
              <w:top w:val="outset" w:color="auto" w:sz="6" w:space="0"/>
              <w:left w:val="outset" w:color="auto" w:sz="6" w:space="0"/>
              <w:bottom w:val="outset" w:color="auto" w:sz="6" w:space="0"/>
              <w:right w:val="outset" w:color="auto" w:sz="6" w:space="0"/>
            </w:tcBorders>
            <w:noWrap w:val="0"/>
            <w:vAlign w:val="center"/>
          </w:tcPr>
          <w:p w14:paraId="0B3AD614">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402" w:type="dxa"/>
            <w:tcBorders>
              <w:top w:val="outset" w:color="auto" w:sz="6" w:space="0"/>
              <w:left w:val="outset" w:color="auto" w:sz="6" w:space="0"/>
              <w:bottom w:val="outset" w:color="auto" w:sz="6" w:space="0"/>
              <w:right w:val="outset" w:color="auto" w:sz="6" w:space="0"/>
            </w:tcBorders>
            <w:noWrap w:val="0"/>
            <w:vAlign w:val="center"/>
          </w:tcPr>
          <w:p w14:paraId="38899FA5">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975" w:type="dxa"/>
            <w:tcBorders>
              <w:top w:val="outset" w:color="auto" w:sz="6" w:space="0"/>
              <w:left w:val="outset" w:color="auto" w:sz="6" w:space="0"/>
              <w:bottom w:val="outset" w:color="auto" w:sz="6" w:space="0"/>
              <w:right w:val="outset" w:color="auto" w:sz="6" w:space="0"/>
            </w:tcBorders>
            <w:noWrap w:val="0"/>
            <w:vAlign w:val="center"/>
          </w:tcPr>
          <w:p w14:paraId="5538BCF3">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217" w:type="dxa"/>
            <w:tcBorders>
              <w:top w:val="outset" w:color="auto" w:sz="6" w:space="0"/>
              <w:left w:val="outset" w:color="auto" w:sz="6" w:space="0"/>
              <w:bottom w:val="outset" w:color="auto" w:sz="6" w:space="0"/>
              <w:right w:val="outset" w:color="auto" w:sz="6" w:space="0"/>
            </w:tcBorders>
            <w:noWrap w:val="0"/>
            <w:vAlign w:val="center"/>
          </w:tcPr>
          <w:p w14:paraId="1FCF3F01">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037" w:type="dxa"/>
            <w:tcBorders>
              <w:top w:val="outset" w:color="auto" w:sz="6" w:space="0"/>
              <w:left w:val="outset" w:color="auto" w:sz="6" w:space="0"/>
              <w:bottom w:val="outset" w:color="auto" w:sz="6" w:space="0"/>
              <w:right w:val="outset" w:color="auto" w:sz="6" w:space="0"/>
            </w:tcBorders>
            <w:noWrap w:val="0"/>
            <w:vAlign w:val="center"/>
          </w:tcPr>
          <w:p w14:paraId="499DB0AB">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6F250EE8">
            <w:pPr>
              <w:pStyle w:val="14"/>
              <w:keepNext w:val="0"/>
              <w:keepLines w:val="0"/>
              <w:pageBreakBefore w:val="0"/>
              <w:widowControl w:val="0"/>
              <w:shd w:val="clear"/>
              <w:tabs>
                <w:tab w:val="left" w:pos="525"/>
                <w:tab w:val="left" w:pos="735"/>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p>
        </w:tc>
      </w:tr>
    </w:tbl>
    <w:p w14:paraId="33916B1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注：甲方不承诺最低采购数量，乙方须根据实际情况供货，甲方据实结算。</w:t>
      </w:r>
    </w:p>
    <w:p w14:paraId="071CEF7B">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甲方须经电话通知、微信或书面形式向乙方发送采购计划单，乙方应按甲方确认的采购计划向甲方及时供货。</w:t>
      </w:r>
    </w:p>
    <w:p w14:paraId="13263086">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乙方须按照供货合同采购</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一览表向甲方供应中标</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w:t>
      </w:r>
    </w:p>
    <w:p w14:paraId="1D11007D">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第三条  乙方必须按照中药饮片中标供货价格执行，</w:t>
      </w:r>
      <w:r>
        <w:rPr>
          <w:rFonts w:hint="eastAsia" w:ascii="仿宋" w:hAnsi="仿宋" w:eastAsia="仿宋" w:cs="仿宋"/>
          <w:color w:val="auto"/>
          <w:sz w:val="24"/>
          <w:szCs w:val="24"/>
          <w:highlight w:val="none"/>
          <w:lang w:val="en-US" w:eastAsia="zh-CN"/>
        </w:rPr>
        <w:t>在合同期内原则上不作调整。乙方在填报投标报价时，应根据自身的成本核算情况，充分考虑市场价格的波动风险。一经投标，即认为乙方已充分考虑有关风险，愿意承担因这些风险所造成的一切经济损失，并放弃因此造成的损失求偿权。如确实因为政策或虫害、气候等原因影响采购合同执行，须由乙方事先提供书面申请及相关证明材料，等甲方批准后方可调价。若乙方擅自上调价格或擅自不供货，在合同期内累计达到3次，则甲方有权终止合同并要求中标人赔偿损失。</w:t>
      </w:r>
    </w:p>
    <w:p w14:paraId="30D59E19">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乙方应保证甲方在使用</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时免受第三方提出的有关专利权、商标权或保护期等方面的权利要求。</w:t>
      </w:r>
    </w:p>
    <w:p w14:paraId="083D2332">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乙方所供应</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的质量应符合国家</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相关标准及</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的要求。每批药须提供该</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同批号质量检验报告书，并将</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送至甲方指定地点。若乙方提供的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出现质量问题或不符合验收要求，由此产生的一切后果由乙方承担，如因此给甲方或任何第三方造成人身、财产损失，由乙方负责赔偿。</w:t>
      </w:r>
    </w:p>
    <w:p w14:paraId="5D7537CD">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供货期限及要求</w:t>
      </w:r>
    </w:p>
    <w:p w14:paraId="140AD5A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期限：</w:t>
      </w:r>
      <w:r>
        <w:rPr>
          <w:rFonts w:hint="eastAsia" w:ascii="仿宋" w:hAnsi="仿宋" w:eastAsia="仿宋" w:cs="仿宋"/>
          <w:color w:val="auto"/>
          <w:sz w:val="24"/>
          <w:szCs w:val="22"/>
          <w:highlight w:val="none"/>
          <w:lang w:val="en-US" w:eastAsia="zh-CN"/>
        </w:rPr>
        <w:t>自合同签订之日起，至预算金额用完为止，</w:t>
      </w:r>
      <w:r>
        <w:rPr>
          <w:rFonts w:hint="eastAsia" w:ascii="仿宋" w:hAnsi="仿宋" w:eastAsia="仿宋" w:cs="仿宋"/>
          <w:color w:val="auto"/>
          <w:sz w:val="24"/>
          <w:szCs w:val="24"/>
          <w:highlight w:val="none"/>
          <w:lang w:val="en-US" w:eastAsia="zh-CN"/>
        </w:rPr>
        <w:t>每年进行考核，</w:t>
      </w:r>
      <w:r>
        <w:rPr>
          <w:rFonts w:hint="eastAsia" w:ascii="仿宋" w:hAnsi="仿宋" w:eastAsia="仿宋" w:cs="仿宋"/>
          <w:color w:val="auto"/>
          <w:sz w:val="24"/>
          <w:szCs w:val="24"/>
          <w:highlight w:val="none"/>
        </w:rPr>
        <w:t>考核</w:t>
      </w:r>
      <w:r>
        <w:rPr>
          <w:rFonts w:hint="eastAsia" w:ascii="仿宋" w:hAnsi="仿宋" w:eastAsia="仿宋" w:cs="仿宋"/>
          <w:color w:val="auto"/>
          <w:sz w:val="24"/>
          <w:szCs w:val="24"/>
          <w:highlight w:val="none"/>
          <w:lang w:val="en-US" w:eastAsia="zh-CN"/>
        </w:rPr>
        <w:t>不合格将列入不良行为记录</w:t>
      </w:r>
      <w:r>
        <w:rPr>
          <w:rFonts w:hint="eastAsia" w:ascii="仿宋" w:hAnsi="仿宋" w:eastAsia="仿宋" w:cs="仿宋"/>
          <w:color w:val="auto"/>
          <w:sz w:val="24"/>
          <w:szCs w:val="24"/>
          <w:highlight w:val="none"/>
        </w:rPr>
        <w:t>。</w:t>
      </w:r>
    </w:p>
    <w:p w14:paraId="4541EAD2">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货要求：乙方须保证能供应投标文件中所承诺的所有品种，只要有一个品种不能按时足量供应视为违约；乙方须满足甲方提出的饮片临方加工的要求，否则视为违约。凡乙方违约造成甲方从第三方购买由此造成的损失由乙方承担。</w:t>
      </w:r>
    </w:p>
    <w:p w14:paraId="2CE1025D">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乙方应自确认甲方发出采购计划单之时起，在接到采购通知后，急需</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小时配送到位，一般</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不超过</w:t>
      </w:r>
      <w:r>
        <w:rPr>
          <w:rFonts w:hint="eastAsia" w:ascii="仿宋" w:hAnsi="仿宋" w:eastAsia="仿宋" w:cs="仿宋"/>
          <w:color w:val="auto"/>
          <w:sz w:val="24"/>
          <w:szCs w:val="24"/>
          <w:highlight w:val="none"/>
          <w:lang w:val="en-US" w:eastAsia="zh-CN"/>
        </w:rPr>
        <w:t>5个工作日</w:t>
      </w:r>
      <w:r>
        <w:rPr>
          <w:rFonts w:hint="eastAsia" w:ascii="仿宋" w:hAnsi="仿宋" w:eastAsia="仿宋" w:cs="仿宋"/>
          <w:color w:val="auto"/>
          <w:sz w:val="24"/>
          <w:szCs w:val="24"/>
          <w:highlight w:val="none"/>
        </w:rPr>
        <w:t>，超出上述配送时限，甲方不再接受乙方配送的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且有权向第三方购买，乙方自动放弃配送</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的权利且须承担甲方向第三方购买增加的费用和造成的损失，如在合同期内连续或累计出现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次上述违约行为，甲方有权解除合同，短缺品种须在接到采购通知后4小时内告知甲方并明确后续处理办法，3日内给医院一份盖有公章的书面情况说明，否则视为违约；乙方应积极解决有质量争议的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问题以及医院需要协助解决的其他问题，超过48小时不解决的，视为违约。</w:t>
      </w:r>
    </w:p>
    <w:p w14:paraId="4720FDD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第七条  </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验收、检验标准、方法、时间、地点和期限</w:t>
      </w:r>
    </w:p>
    <w:p w14:paraId="196C7C53">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甲方在接收到</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时，应对</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进行验货确认，对不符合合同要求或相关标准的，甲方有权拒绝接收。乙方在接到甲方退货或者换货通知后，乙方应在24小时内更换退、换货的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，不得影响甲方的临床用药。否则，甲方可以另行向其他中标企业采购，所增加的成本或造成的损失由乙方负责。</w:t>
      </w:r>
    </w:p>
    <w:p w14:paraId="22948711">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如果甲方确认需要进行</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质量检验，应及时以书面形式把质量检验的具体要求通知乙方。乙方收到要求</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质量检验书面通知时，应当配合进行</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质量检验。检验在乙方交货的最终目的地进行。</w:t>
      </w:r>
    </w:p>
    <w:p w14:paraId="7379ECD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甲方有权随机抽取部分品种到医院所在地药检部门进行检验（检验重点项目为含量、杂质限量、重金属和农药残留量等），所有指标检测结果必须合格，由此产生的一切费用由乙方承担。甲乙双方对</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质量存在争议时，应送至甲方所在地药监部门检验。如送检</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存在质量问题，检验费用由乙方承担。如送检</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无质量问题，合同继续履行，检验费</w:t>
      </w:r>
      <w:r>
        <w:rPr>
          <w:rFonts w:hint="eastAsia" w:ascii="仿宋" w:hAnsi="仿宋" w:eastAsia="仿宋" w:cs="仿宋"/>
          <w:color w:val="auto"/>
          <w:sz w:val="24"/>
          <w:szCs w:val="24"/>
          <w:highlight w:val="none"/>
          <w:lang w:eastAsia="zh-CN"/>
        </w:rPr>
        <w:t>用由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237B026F">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乙方所供</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由乙方免费送货至甲方指定的仓储地点</w:t>
      </w:r>
      <w:r>
        <w:rPr>
          <w:rFonts w:hint="eastAsia" w:ascii="仿宋" w:hAnsi="仿宋" w:eastAsia="仿宋" w:cs="仿宋"/>
          <w:color w:val="auto"/>
          <w:sz w:val="24"/>
          <w:szCs w:val="24"/>
          <w:highlight w:val="none"/>
          <w:lang w:val="en-US" w:eastAsia="zh-CN"/>
        </w:rPr>
        <w:t>并协助上架</w:t>
      </w:r>
      <w:r>
        <w:rPr>
          <w:rFonts w:hint="eastAsia" w:ascii="仿宋" w:hAnsi="仿宋" w:eastAsia="仿宋" w:cs="仿宋"/>
          <w:color w:val="auto"/>
          <w:sz w:val="24"/>
          <w:szCs w:val="24"/>
          <w:highlight w:val="none"/>
        </w:rPr>
        <w:t>。乙方应确保</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在整个运输过</w:t>
      </w:r>
      <w:r>
        <w:rPr>
          <w:rFonts w:hint="eastAsia" w:ascii="仿宋" w:hAnsi="仿宋" w:eastAsia="仿宋" w:cs="仿宋"/>
          <w:color w:val="auto"/>
          <w:sz w:val="24"/>
          <w:szCs w:val="24"/>
          <w:highlight w:val="none"/>
          <w:lang w:eastAsia="zh-CN"/>
        </w:rPr>
        <w:t>程中</w:t>
      </w:r>
      <w:r>
        <w:rPr>
          <w:rFonts w:hint="eastAsia" w:ascii="仿宋" w:hAnsi="仿宋" w:eastAsia="仿宋" w:cs="仿宋"/>
          <w:color w:val="auto"/>
          <w:sz w:val="24"/>
          <w:szCs w:val="24"/>
          <w:highlight w:val="none"/>
        </w:rPr>
        <w:t>的质量安全及运输安全，并确保</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的包装及运输方式符合国家相关法律法规规定，如乙方怠于履行该义务，造成所供</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出现包括但不限于质量问题、损坏的，由此而产生的后果由乙方自行承担。</w:t>
      </w:r>
    </w:p>
    <w:p w14:paraId="1F6E38BB">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乙方配送的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如在临床使用过程中出现不良反应、不良事件或造成社会不良影响，甲方应及时通知乙方领回剩余</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，由此造成的所有损失及责任均由乙方承担。</w:t>
      </w:r>
    </w:p>
    <w:p w14:paraId="5A57D2B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为保证</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质量，避免造成</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浪费，甲方对已购进的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应妥善储存和管理。如因乙方</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质量造成的一切损失由乙方承担全部责任；如因甲方库存条件不符合</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正常储存，造成的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质量问题，由甲方承担全部责任。</w:t>
      </w:r>
    </w:p>
    <w:p w14:paraId="322AF866">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加强对</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有效期的管理。乙方所配送的</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的有效期</w:t>
      </w:r>
      <w:r>
        <w:rPr>
          <w:rFonts w:hint="eastAsia" w:ascii="仿宋" w:hAnsi="仿宋" w:eastAsia="仿宋" w:cs="仿宋"/>
          <w:color w:val="auto"/>
          <w:sz w:val="24"/>
          <w:szCs w:val="24"/>
          <w:highlight w:val="none"/>
          <w:lang w:val="en-US" w:eastAsia="zh-CN"/>
        </w:rPr>
        <w:t>以中药饮片生产企业标签标注的保质期为准，中标人应确保招标人在收货时中药饮片标签标注剩余保质期天数不得低于总保质期天数的80%</w:t>
      </w:r>
      <w:r>
        <w:rPr>
          <w:rFonts w:hint="eastAsia" w:ascii="仿宋" w:hAnsi="仿宋" w:eastAsia="仿宋" w:cs="仿宋"/>
          <w:color w:val="auto"/>
          <w:sz w:val="24"/>
          <w:szCs w:val="24"/>
          <w:highlight w:val="none"/>
        </w:rPr>
        <w:t>。甲方应定期清查</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库房及药房</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的有效期，掌握</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情况，</w:t>
      </w:r>
      <w:r>
        <w:rPr>
          <w:rFonts w:hint="eastAsia" w:ascii="仿宋" w:hAnsi="仿宋" w:eastAsia="仿宋" w:cs="仿宋"/>
          <w:color w:val="auto"/>
          <w:sz w:val="24"/>
          <w:szCs w:val="24"/>
          <w:highlight w:val="none"/>
          <w:lang w:val="en-US" w:eastAsia="zh-CN"/>
        </w:rPr>
        <w:t>乙方应配合甲方</w:t>
      </w:r>
      <w:r>
        <w:rPr>
          <w:rFonts w:hint="eastAsia" w:ascii="仿宋" w:hAnsi="仿宋" w:eastAsia="仿宋" w:cs="仿宋"/>
          <w:color w:val="auto"/>
          <w:sz w:val="24"/>
          <w:szCs w:val="24"/>
          <w:highlight w:val="none"/>
        </w:rPr>
        <w:t>及时对近效期（到失效期6个月内）</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进行退、换货。</w:t>
      </w:r>
    </w:p>
    <w:p w14:paraId="2EAA05C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）甲方可根据供货质量评估表记录的结果对乙方供货行为进行监督、检查，如发现乙方提供的饮片</w:t>
      </w:r>
      <w:r>
        <w:rPr>
          <w:rFonts w:hint="eastAsia" w:ascii="仿宋" w:hAnsi="仿宋" w:eastAsia="仿宋" w:cs="仿宋"/>
          <w:color w:val="auto"/>
          <w:sz w:val="24"/>
          <w:szCs w:val="24"/>
          <w:highlight w:val="none"/>
          <w:lang w:eastAsia="zh-CN"/>
        </w:rPr>
        <w:t>掺杂</w:t>
      </w:r>
      <w:r>
        <w:rPr>
          <w:rFonts w:hint="eastAsia" w:ascii="仿宋" w:hAnsi="仿宋" w:eastAsia="仿宋" w:cs="仿宋"/>
          <w:color w:val="auto"/>
          <w:sz w:val="24"/>
          <w:szCs w:val="24"/>
          <w:highlight w:val="none"/>
        </w:rPr>
        <w:t>、染色、以次充好、</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发霉、虫蛀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次及以上等情况的视为违约。</w:t>
      </w:r>
    </w:p>
    <w:p w14:paraId="3EF30A0E">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）结算方式：</w:t>
      </w:r>
      <w:r>
        <w:rPr>
          <w:rFonts w:hint="eastAsia" w:ascii="仿宋" w:hAnsi="仿宋" w:eastAsia="仿宋" w:cs="仿宋"/>
          <w:color w:val="auto"/>
          <w:sz w:val="24"/>
          <w:szCs w:val="24"/>
          <w:highlight w:val="none"/>
          <w:lang w:val="en-US" w:eastAsia="zh-CN"/>
        </w:rPr>
        <w:t xml:space="preserve"> 分批次结算货款，每次交货验收合格后，供货商开具正确发票，30个工作日内一次性支付当批货款。</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val="en-US" w:eastAsia="zh-CN"/>
        </w:rPr>
        <w:t>每月5</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前核</w:t>
      </w:r>
      <w:r>
        <w:rPr>
          <w:rFonts w:hint="eastAsia" w:ascii="仿宋" w:hAnsi="仿宋" w:eastAsia="仿宋" w:cs="仿宋"/>
          <w:color w:val="auto"/>
          <w:sz w:val="24"/>
          <w:szCs w:val="24"/>
          <w:highlight w:val="none"/>
        </w:rPr>
        <w:t>对上</w:t>
      </w:r>
      <w:r>
        <w:rPr>
          <w:rFonts w:hint="eastAsia" w:ascii="仿宋" w:hAnsi="仿宋" w:eastAsia="仿宋" w:cs="仿宋"/>
          <w:color w:val="auto"/>
          <w:sz w:val="24"/>
          <w:szCs w:val="24"/>
          <w:highlight w:val="none"/>
          <w:lang w:val="en-US" w:eastAsia="zh-CN"/>
        </w:rPr>
        <w:t>月供货</w:t>
      </w:r>
      <w:r>
        <w:rPr>
          <w:rFonts w:hint="eastAsia" w:ascii="仿宋" w:hAnsi="仿宋" w:eastAsia="仿宋" w:cs="仿宋"/>
          <w:color w:val="auto"/>
          <w:sz w:val="24"/>
          <w:szCs w:val="24"/>
          <w:highlight w:val="none"/>
        </w:rPr>
        <w:t>款项，乙方应按甲方要求向甲方提供经甲方确认的包括但不限于送货单、验收单据等材料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甲方审核无误后，乙方</w:t>
      </w:r>
      <w:r>
        <w:rPr>
          <w:rFonts w:hint="eastAsia" w:ascii="仿宋" w:hAnsi="仿宋" w:eastAsia="仿宋" w:cs="仿宋"/>
          <w:color w:val="auto"/>
          <w:sz w:val="24"/>
          <w:szCs w:val="24"/>
          <w:highlight w:val="none"/>
          <w:lang w:val="en-US" w:eastAsia="zh-CN"/>
        </w:rPr>
        <w:t>根据甲方通知的时间，</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结算周期</w:t>
      </w:r>
      <w:r>
        <w:rPr>
          <w:rFonts w:hint="eastAsia" w:ascii="仿宋" w:hAnsi="仿宋" w:eastAsia="仿宋" w:cs="仿宋"/>
          <w:color w:val="auto"/>
          <w:sz w:val="24"/>
          <w:szCs w:val="24"/>
          <w:highlight w:val="none"/>
        </w:rPr>
        <w:t>应结算款项金额向甲方开具符合法律规定的发票，甲方于收到乙方发票后按医院</w:t>
      </w:r>
      <w:r>
        <w:rPr>
          <w:rFonts w:hint="eastAsia" w:ascii="仿宋" w:hAnsi="仿宋" w:eastAsia="仿宋" w:cs="仿宋"/>
          <w:color w:val="auto"/>
          <w:sz w:val="24"/>
          <w:szCs w:val="24"/>
          <w:highlight w:val="none"/>
          <w:lang w:eastAsia="zh-CN"/>
        </w:rPr>
        <w:t>所规</w:t>
      </w:r>
      <w:r>
        <w:rPr>
          <w:rFonts w:hint="eastAsia" w:ascii="仿宋" w:hAnsi="仿宋" w:eastAsia="仿宋" w:cs="仿宋"/>
          <w:color w:val="auto"/>
          <w:sz w:val="24"/>
          <w:szCs w:val="24"/>
          <w:highlight w:val="none"/>
        </w:rPr>
        <w:t>定的付款程序将款项支付给乙方。否则，甲方有权拒绝付款，由此而产生的后果由乙方承担。</w:t>
      </w:r>
    </w:p>
    <w:p w14:paraId="51CD9799">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承诺与保证</w:t>
      </w:r>
    </w:p>
    <w:p w14:paraId="1D807B28">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1、乙方保证：其具有符合法律法规规定的资质，有权签订并履行本合同，且具有本合同项下中药饮片的合法销售权。乙方必须向甲方提供厂家、代理公司和所需产品的包括但不限于《</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生产许可证》或《</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经营许可证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企业法人营业执照》和销售人员的授权委托书、资格证明、身份证等所有证件并加盖乙方公章。乙方对其所提供的所有证件资料的真实性、合法性承担全部责任。乙方所提供的所有证件</w:t>
      </w:r>
      <w:r>
        <w:rPr>
          <w:rFonts w:hint="eastAsia" w:ascii="仿宋" w:hAnsi="仿宋" w:eastAsia="仿宋" w:cs="仿宋"/>
          <w:color w:val="auto"/>
          <w:sz w:val="24"/>
          <w:szCs w:val="24"/>
          <w:highlight w:val="none"/>
          <w:lang w:eastAsia="zh-CN"/>
        </w:rPr>
        <w:t>必须</w:t>
      </w:r>
      <w:r>
        <w:rPr>
          <w:rFonts w:hint="eastAsia" w:ascii="仿宋" w:hAnsi="仿宋" w:eastAsia="仿宋" w:cs="仿宋"/>
          <w:color w:val="auto"/>
          <w:sz w:val="24"/>
          <w:szCs w:val="24"/>
          <w:highlight w:val="none"/>
        </w:rPr>
        <w:t>在有效期内，并保证其时效性及后续使用中及时更换新证。采购如涉及毒性中药饮片、按麻醉</w:t>
      </w:r>
      <w:r>
        <w:rPr>
          <w:rFonts w:hint="eastAsia" w:ascii="仿宋" w:hAnsi="仿宋" w:eastAsia="仿宋" w:cs="仿宋"/>
          <w:color w:val="auto"/>
          <w:sz w:val="24"/>
          <w:szCs w:val="24"/>
          <w:highlight w:val="none"/>
          <w:lang w:eastAsia="zh-CN"/>
        </w:rPr>
        <w:t>饮片</w:t>
      </w:r>
      <w:r>
        <w:rPr>
          <w:rFonts w:hint="eastAsia" w:ascii="仿宋" w:hAnsi="仿宋" w:eastAsia="仿宋" w:cs="仿宋"/>
          <w:color w:val="auto"/>
          <w:sz w:val="24"/>
          <w:szCs w:val="24"/>
          <w:highlight w:val="none"/>
        </w:rPr>
        <w:t>管理的中药饮片、珍稀野生动物类药材等有特殊管理规定的中药饮片应符合国家有关规定，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供应此类饮片时需要提供厂家相应的许可资料，证明饮片的合法来源性</w:t>
      </w:r>
      <w:r>
        <w:rPr>
          <w:rFonts w:hint="eastAsia" w:ascii="仿宋" w:hAnsi="仿宋" w:eastAsia="仿宋" w:cs="仿宋"/>
          <w:color w:val="auto"/>
          <w:sz w:val="24"/>
          <w:szCs w:val="24"/>
          <w:highlight w:val="none"/>
          <w:lang w:eastAsia="zh-CN"/>
        </w:rPr>
        <w:t>。</w:t>
      </w:r>
    </w:p>
    <w:p w14:paraId="7AD2DE3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2、乙方保证严格执行国家的法律法规，守法经营，按章办事，自觉维护甲方的利益；</w:t>
      </w:r>
      <w:r>
        <w:rPr>
          <w:rFonts w:hint="eastAsia" w:ascii="仿宋" w:hAnsi="仿宋" w:eastAsia="仿宋" w:cs="仿宋"/>
          <w:color w:val="auto"/>
          <w:sz w:val="24"/>
          <w:szCs w:val="24"/>
          <w:highlight w:val="none"/>
          <w:lang w:eastAsia="zh-CN"/>
        </w:rPr>
        <w:t>自觉接受人民的监督</w:t>
      </w:r>
      <w:r>
        <w:rPr>
          <w:rFonts w:hint="eastAsia" w:ascii="仿宋" w:hAnsi="仿宋" w:eastAsia="仿宋" w:cs="仿宋"/>
          <w:color w:val="auto"/>
          <w:sz w:val="24"/>
          <w:szCs w:val="24"/>
          <w:highlight w:val="none"/>
        </w:rPr>
        <w:t>检查，严格履行服务承诺，做到诚实守信；加强内部管理，保证产品质量，按照本合同、投标文件及相关承诺的规定开展供货业务，避免质量问题的发生。</w:t>
      </w:r>
    </w:p>
    <w:p w14:paraId="14379B76">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对甲方的供货做到优先安排，重点保证，免费上门送货；保证加强对送货运输、验收及存放的全程管理，做到每个环节不出差错，确保错漏率为零；保证妥善保管供货合同、验收单及相关资料，以备查验。</w:t>
      </w:r>
    </w:p>
    <w:p w14:paraId="0FEE1880">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保证遵循诚实信用原则，杜绝不正当竞争行为；对甲方的相关资料等应当妥善保管和保密，不得损毁和泄露；非经双方许可，甲、乙双方均不得将合同及与履行合同有关的技术资料及相关信息，泄漏给执行业务负责人之外的无关人员和任何第三方；保证提供给甲方的产品价格为经物价管理部门确定的价格，否则甲方有权单方解除本合同；如乙方在合同有效期内变更供货公司名称，甲方有权单方解除本合同。</w:t>
      </w:r>
    </w:p>
    <w:p w14:paraId="51FD8E5C">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应自行负责履行本合同中的安全责任，否则引起的一切损失由乙方自行承担，如因此给甲方造成损失，由乙方负责赔偿；乙方应将其负责甲方业务的业务员名单及身份证复印件（加盖乙方公章）、授权委托书等报甲方备案，乙方业务员如有增加或更换，</w:t>
      </w:r>
      <w:r>
        <w:rPr>
          <w:rFonts w:hint="eastAsia" w:ascii="仿宋" w:hAnsi="仿宋" w:eastAsia="仿宋" w:cs="仿宋"/>
          <w:color w:val="auto"/>
          <w:sz w:val="24"/>
          <w:szCs w:val="24"/>
          <w:highlight w:val="none"/>
          <w:lang w:eastAsia="zh-CN"/>
        </w:rPr>
        <w:t>必须</w:t>
      </w:r>
      <w:r>
        <w:rPr>
          <w:rFonts w:hint="eastAsia" w:ascii="仿宋" w:hAnsi="仿宋" w:eastAsia="仿宋" w:cs="仿宋"/>
          <w:color w:val="auto"/>
          <w:sz w:val="24"/>
          <w:szCs w:val="24"/>
          <w:highlight w:val="none"/>
        </w:rPr>
        <w:t>提前七日以书面形式通知甲方并及时更换业务员委托书及业务员有效身份证明，否则，由此而产生的责任由乙方承担。</w:t>
      </w:r>
    </w:p>
    <w:p w14:paraId="736C251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6、如果乙方或其工作人员向甲方工作人员进</w:t>
      </w:r>
      <w:r>
        <w:rPr>
          <w:rFonts w:hint="eastAsia" w:ascii="仿宋" w:hAnsi="仿宋" w:eastAsia="仿宋" w:cs="仿宋"/>
          <w:color w:val="auto"/>
          <w:sz w:val="24"/>
          <w:szCs w:val="24"/>
          <w:highlight w:val="none"/>
          <w:lang w:eastAsia="zh-CN"/>
        </w:rPr>
        <w:t>行任</w:t>
      </w:r>
      <w:r>
        <w:rPr>
          <w:rFonts w:hint="eastAsia" w:ascii="仿宋" w:hAnsi="仿宋" w:eastAsia="仿宋" w:cs="仿宋"/>
          <w:color w:val="auto"/>
          <w:sz w:val="24"/>
          <w:szCs w:val="24"/>
          <w:highlight w:val="none"/>
        </w:rPr>
        <w:t>何形式的贿赂行为，甲方有权单方解除本合同。</w:t>
      </w:r>
    </w:p>
    <w:p w14:paraId="6E19E8CE">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第九条   </w:t>
      </w:r>
      <w:r>
        <w:rPr>
          <w:rFonts w:hint="eastAsia" w:ascii="仿宋" w:hAnsi="仿宋" w:eastAsia="仿宋" w:cs="仿宋"/>
          <w:color w:val="auto"/>
          <w:sz w:val="24"/>
          <w:szCs w:val="24"/>
          <w:highlight w:val="none"/>
          <w:lang w:eastAsia="zh-CN"/>
        </w:rPr>
        <w:t>双方权利与义务</w:t>
      </w:r>
    </w:p>
    <w:p w14:paraId="656496F3">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（一）甲方权利义务</w:t>
      </w:r>
    </w:p>
    <w:p w14:paraId="5698618F">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1.甲方对乙方提出的账目核对要求应提供配合与协助。</w:t>
      </w:r>
    </w:p>
    <w:p w14:paraId="3A2F52B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.甲方定期对乙方进行质量、服务、供货商资质、供货率等进行考核评估，评估结果不合格时，乙方必须无条件进行整改，若连续三次不整改，或整改后仍不合格，甲方有权单方终止合同。</w:t>
      </w:r>
    </w:p>
    <w:p w14:paraId="450FFD4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.甲方对中药饮片质量及中药饮片价格进行审查监督，严格把关，对不符合要求的中药饮片一律不予使用、不予付款。</w:t>
      </w:r>
    </w:p>
    <w:p w14:paraId="70883D69">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（二）乙方权利义务</w:t>
      </w:r>
    </w:p>
    <w:p w14:paraId="69F88D88">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1.乙方应根据甲方订单要求及时将</w:t>
      </w:r>
      <w:r>
        <w:rPr>
          <w:rFonts w:hint="eastAsia" w:ascii="仿宋" w:hAnsi="仿宋" w:eastAsia="仿宋" w:cs="仿宋"/>
          <w:color w:val="auto"/>
          <w:sz w:val="24"/>
          <w:szCs w:val="24"/>
          <w:highlight w:val="none"/>
          <w:lang w:val="en-US" w:eastAsia="zh-CN"/>
        </w:rPr>
        <w:t>中药饮片</w:t>
      </w:r>
      <w:r>
        <w:rPr>
          <w:rFonts w:hint="eastAsia" w:ascii="仿宋" w:hAnsi="仿宋" w:eastAsia="仿宋" w:cs="仿宋"/>
          <w:color w:val="auto"/>
          <w:sz w:val="24"/>
          <w:szCs w:val="24"/>
          <w:highlight w:val="none"/>
          <w:lang w:eastAsia="zh-CN"/>
        </w:rPr>
        <w:t>送至甲方指定收货地点，并保证产品符合质量标准。</w:t>
      </w:r>
    </w:p>
    <w:p w14:paraId="09911A51">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2.乙方承诺提供甲方所需的所有品种。</w:t>
      </w:r>
    </w:p>
    <w:p w14:paraId="51CFDDC0">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3.乙方对甲方提交的异议应在收到异议通知起三日内复核并回复甲方；经复核属实的应在核实后三日内补发或调账。若超过三日未进行回复的，视为甲方所提交的异议成立，乙方应及时按甲方的要求进行处理。</w:t>
      </w:r>
    </w:p>
    <w:p w14:paraId="57FF682F">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4.向甲方提供合法有效的企业资质证件资料及甲方合理要求的其它相关文书材料。</w:t>
      </w:r>
    </w:p>
    <w:p w14:paraId="670D04D7">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5.如因中药饮片不符合相关规定而产生的一切后果（投诉、医患纠纷、行政处罚等）及导致的一切损失由乙方自行承担全部责任，如给甲方或者第三方造成不利后果或不良影响的，须对甲方或第三方进行赔偿。</w:t>
      </w:r>
    </w:p>
    <w:p w14:paraId="2B94D869">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供货期间，甲方被中药饮片监管部门抽检的中药饮片由甲方提供抽检凭证。中药饮片监督检查和检测过程中产生的一切费用由乙方承担。因质量问题导致抽检不合格的，若给甲方或任何第三方造成损失，由乙方自行负责赔偿。</w:t>
      </w:r>
    </w:p>
    <w:p w14:paraId="2E771573">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7.乙方向甲方提供中药饮片的有效期</w:t>
      </w:r>
      <w:r>
        <w:rPr>
          <w:rFonts w:hint="eastAsia" w:ascii="仿宋" w:hAnsi="仿宋" w:eastAsia="仿宋" w:cs="仿宋"/>
          <w:color w:val="auto"/>
          <w:sz w:val="24"/>
          <w:szCs w:val="24"/>
          <w:highlight w:val="none"/>
          <w:lang w:val="en-US" w:eastAsia="zh-CN"/>
        </w:rPr>
        <w:t>以中药饮片生产企业标签标注的保质期为准，乙方应确保甲方在收货时中药饮片标签标注剩余保质期天数不低于总保质期天数的80%</w:t>
      </w:r>
      <w:r>
        <w:rPr>
          <w:rFonts w:hint="eastAsia" w:ascii="仿宋" w:hAnsi="仿宋" w:eastAsia="仿宋" w:cs="仿宋"/>
          <w:color w:val="auto"/>
          <w:sz w:val="24"/>
          <w:szCs w:val="24"/>
          <w:highlight w:val="none"/>
          <w:lang w:eastAsia="zh-CN"/>
        </w:rPr>
        <w:t>。</w:t>
      </w:r>
    </w:p>
    <w:p w14:paraId="6B3B30B0">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 乙方供应的中药饮片在临床使用过程中出现不良反应/事件，由此造成的所有损失和责任由乙方自行承担。</w:t>
      </w:r>
    </w:p>
    <w:p w14:paraId="5BF7857D">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 本合同书及合同内所有涉及的中药饮片系列产品，乙方都不得以任何形式转让。</w:t>
      </w:r>
    </w:p>
    <w:p w14:paraId="3452E33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10.乙方对知悉的甲方商业信息（包括但不限于价格体系等）应严格保密。若乙方违反保密义务，而给甲方造成包括但不限于名誉、经济等损失的，乙方应承担相应的赔偿责任。</w:t>
      </w:r>
    </w:p>
    <w:p w14:paraId="7E0C4F3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八、退（换）货</w:t>
      </w:r>
    </w:p>
    <w:p w14:paraId="304555B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乙方承诺任何情况下无条件退货，并承担合同有效期内甲方非人为损耗。合同到期后乙方仍对所供应的中药饮片承担退换货服务。</w:t>
      </w:r>
    </w:p>
    <w:p w14:paraId="7844A63C">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第十条   </w:t>
      </w:r>
      <w:r>
        <w:rPr>
          <w:rFonts w:hint="eastAsia" w:ascii="仿宋" w:hAnsi="仿宋" w:eastAsia="仿宋" w:cs="仿宋"/>
          <w:color w:val="auto"/>
          <w:sz w:val="24"/>
          <w:szCs w:val="24"/>
          <w:highlight w:val="none"/>
          <w:lang w:eastAsia="zh-CN"/>
        </w:rPr>
        <w:t>违约责任</w:t>
      </w:r>
    </w:p>
    <w:p w14:paraId="77CDAE7B">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甲、乙双方应共同遵守本合同条款，如有违反前述条款或双方权利义务的应承担违约责任。即视为违约，守约方可单方解除合同，并要求违约方向守约方支付货款总额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的违约金并赔偿给守约方造成的实际损失。</w:t>
      </w:r>
    </w:p>
    <w:p w14:paraId="789736B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因违约方的违约行为导致守约方主张权利而产生的诉讼费、律师费、公证费、保全费等费用由违约方承担。</w:t>
      </w:r>
    </w:p>
    <w:p w14:paraId="30CD590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条  违约责任及处理方式</w:t>
      </w:r>
    </w:p>
    <w:p w14:paraId="2B19A072">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违约终止合同</w:t>
      </w:r>
    </w:p>
    <w:p w14:paraId="2DD4CCEB">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发生下列情况，甲方可向乙方发出书面通知书，终止或解除合同。</w:t>
      </w:r>
    </w:p>
    <w:p w14:paraId="6FDB312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1、乙方在合同规定的期限或甲方同意延长的限期内，不能按时供货的。</w:t>
      </w:r>
    </w:p>
    <w:p w14:paraId="402C059C">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2、乙方未能履行合同规定的义务。</w:t>
      </w:r>
    </w:p>
    <w:p w14:paraId="7CCC07C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3、乙方在本合同的实施过程中有违法、违规或违约行为或违反保证与承诺义务。</w:t>
      </w:r>
    </w:p>
    <w:p w14:paraId="642A4FEA">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4、乙方确认甲方发出的采购计划单后拒绝</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的或乙方无正当理由拖延交货、不足量供货的、所供</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因质量不合格的。</w:t>
      </w:r>
    </w:p>
    <w:p w14:paraId="56938E1F">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5、乙方丧失履约资质。</w:t>
      </w:r>
    </w:p>
    <w:p w14:paraId="3B500B24">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本合同因上述原因终止或解除的，甲方有权拒付合同费用并追究乙方违约责任，乙方应按当批次</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应结算总价款的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%向甲方支付违约金并赔偿甲方因此遭受的全部损失。甲方未行使合同解除或终止权的，不影响甲方对乙方违约责任的追究。</w:t>
      </w:r>
    </w:p>
    <w:p w14:paraId="250116F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（二）除发生不可抗力事件（不可抗力仅指自然灾害、战争、政府行为、突发的社会或政治事件）外，如乙方逾期交货，则每出现一次违约行为，乙方按当批次</w:t>
      </w:r>
      <w:r>
        <w:rPr>
          <w:rFonts w:hint="eastAsia" w:ascii="仿宋" w:hAnsi="仿宋" w:eastAsia="仿宋" w:cs="仿宋"/>
          <w:color w:val="auto"/>
          <w:sz w:val="24"/>
          <w:szCs w:val="24"/>
          <w:highlight w:val="none"/>
          <w:lang w:eastAsia="zh-CN"/>
        </w:rPr>
        <w:t>中药饮片</w:t>
      </w:r>
      <w:r>
        <w:rPr>
          <w:rFonts w:hint="eastAsia" w:ascii="仿宋" w:hAnsi="仿宋" w:eastAsia="仿宋" w:cs="仿宋"/>
          <w:color w:val="auto"/>
          <w:sz w:val="24"/>
          <w:szCs w:val="24"/>
          <w:highlight w:val="none"/>
        </w:rPr>
        <w:t>应结算总价款的5%向甲方支付违约金。</w:t>
      </w:r>
    </w:p>
    <w:p w14:paraId="7E6CCB3E">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条  本合同未尽事项，按照相关法律法规和部门规章执行。仍然无法确定的，经双方共同协商</w:t>
      </w:r>
      <w:r>
        <w:rPr>
          <w:rFonts w:hint="eastAsia" w:ascii="仿宋" w:hAnsi="仿宋" w:eastAsia="仿宋" w:cs="仿宋"/>
          <w:color w:val="auto"/>
          <w:sz w:val="24"/>
          <w:szCs w:val="24"/>
          <w:highlight w:val="none"/>
          <w:lang w:eastAsia="zh-CN"/>
        </w:rPr>
        <w:t>签订</w:t>
      </w:r>
      <w:r>
        <w:rPr>
          <w:rFonts w:hint="eastAsia" w:ascii="仿宋" w:hAnsi="仿宋" w:eastAsia="仿宋" w:cs="仿宋"/>
          <w:color w:val="auto"/>
          <w:sz w:val="24"/>
          <w:szCs w:val="24"/>
          <w:highlight w:val="none"/>
        </w:rPr>
        <w:t>补充协议，补充协议与本合同具有同等法律效力。</w:t>
      </w:r>
    </w:p>
    <w:p w14:paraId="70B631BC">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条  本合同附表为合同的一部分，具有同等法律效力。</w:t>
      </w:r>
    </w:p>
    <w:p w14:paraId="6FDB2AFC">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条  本合同在履行过程中发生的争议，由双</w:t>
      </w:r>
      <w:r>
        <w:rPr>
          <w:rFonts w:hint="eastAsia" w:ascii="仿宋" w:hAnsi="仿宋" w:eastAsia="仿宋" w:cs="仿宋"/>
          <w:color w:val="auto"/>
          <w:sz w:val="24"/>
          <w:szCs w:val="24"/>
          <w:highlight w:val="none"/>
          <w:lang w:eastAsia="zh-CN"/>
        </w:rPr>
        <w:t>方应</w:t>
      </w:r>
      <w:r>
        <w:rPr>
          <w:rFonts w:hint="eastAsia" w:ascii="仿宋" w:hAnsi="仿宋" w:eastAsia="仿宋" w:cs="仿宋"/>
          <w:color w:val="auto"/>
          <w:sz w:val="24"/>
          <w:szCs w:val="24"/>
          <w:highlight w:val="none"/>
        </w:rPr>
        <w:t>当向甲方当事人协商解决。协商不成，任何一方均有权依法在甲方所在地人民法院提起诉讼，解决争议。</w:t>
      </w:r>
    </w:p>
    <w:p w14:paraId="09A155A8">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条  本合同自双方签字盖章之日起生效，一式</w:t>
      </w:r>
      <w:r>
        <w:rPr>
          <w:rFonts w:hint="eastAsia" w:ascii="仿宋" w:hAnsi="仿宋" w:eastAsia="仿宋" w:cs="仿宋"/>
          <w:color w:val="auto"/>
          <w:sz w:val="24"/>
          <w:szCs w:val="24"/>
          <w:highlight w:val="none"/>
          <w:lang w:eastAsia="zh-CN"/>
        </w:rPr>
        <w:t>三份</w:t>
      </w:r>
      <w:r>
        <w:rPr>
          <w:rFonts w:hint="eastAsia" w:ascii="仿宋" w:hAnsi="仿宋" w:eastAsia="仿宋" w:cs="仿宋"/>
          <w:color w:val="auto"/>
          <w:sz w:val="24"/>
          <w:szCs w:val="24"/>
          <w:highlight w:val="none"/>
        </w:rPr>
        <w:t>，甲方持</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份，乙方持一份，具有同等法律效力。</w:t>
      </w:r>
    </w:p>
    <w:p w14:paraId="5F55BD09">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条  其他约定事项：</w:t>
      </w:r>
    </w:p>
    <w:p w14:paraId="7A9D1AA5">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甲乙双方都对本合同负有保密义务，并</w:t>
      </w:r>
      <w:r>
        <w:rPr>
          <w:rFonts w:hint="eastAsia" w:ascii="仿宋" w:hAnsi="仿宋" w:eastAsia="仿宋" w:cs="仿宋"/>
          <w:color w:val="auto"/>
          <w:sz w:val="24"/>
          <w:szCs w:val="24"/>
          <w:highlight w:val="none"/>
          <w:lang w:eastAsia="zh-CN"/>
        </w:rPr>
        <w:t>对此</w:t>
      </w:r>
      <w:r>
        <w:rPr>
          <w:rFonts w:hint="eastAsia" w:ascii="仿宋" w:hAnsi="仿宋" w:eastAsia="仿宋" w:cs="仿宋"/>
          <w:color w:val="auto"/>
          <w:sz w:val="24"/>
          <w:szCs w:val="24"/>
          <w:highlight w:val="none"/>
        </w:rPr>
        <w:t>承担法律责任。</w:t>
      </w:r>
    </w:p>
    <w:p w14:paraId="1F658461">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自本合同生效之日起，在合同期内发生的有关网上交易的各项事宜，均受本合同的约束。</w:t>
      </w:r>
    </w:p>
    <w:p w14:paraId="38AE0D5C">
      <w:pPr>
        <w:pStyle w:val="14"/>
        <w:keepNext w:val="0"/>
        <w:keepLines w:val="0"/>
        <w:pageBreakBefore w:val="0"/>
        <w:shd w:val="clear"/>
        <w:tabs>
          <w:tab w:val="left" w:pos="525"/>
          <w:tab w:val="left" w:pos="73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pacing w:val="-6"/>
          <w:position w:val="20"/>
          <w:sz w:val="35"/>
          <w:szCs w:val="35"/>
          <w:highlight w:val="none"/>
          <w14:textFill>
            <w14:solidFill>
              <w14:schemeClr w14:val="tx1"/>
            </w14:solidFill>
          </w14:textFill>
        </w:rPr>
      </w:pPr>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条  本合同有效期限为</w:t>
      </w:r>
      <w:r>
        <w:rPr>
          <w:rFonts w:hint="eastAsia" w:ascii="仿宋" w:hAnsi="仿宋" w:eastAsia="仿宋" w:cs="仿宋"/>
          <w:color w:val="auto"/>
          <w:sz w:val="24"/>
          <w:szCs w:val="22"/>
          <w:highlight w:val="none"/>
          <w:lang w:val="en-US" w:eastAsia="zh-CN"/>
        </w:rPr>
        <w:t>自合同签订之日起至预算金额用完为止</w:t>
      </w:r>
      <w:r>
        <w:rPr>
          <w:rFonts w:hint="eastAsia" w:ascii="仿宋" w:hAnsi="仿宋" w:eastAsia="仿宋" w:cs="仿宋"/>
          <w:color w:val="auto"/>
          <w:sz w:val="24"/>
          <w:szCs w:val="24"/>
          <w:highlight w:val="none"/>
        </w:rPr>
        <w:t>。甲方有权在合同有效期内对乙方履行合同情况进行考核。若乙方有违反本合同规定的任何违约情形，则甲方有权单方面终止本合同。乙方在合同有效期内无任何违反本合同规定的情形。</w:t>
      </w:r>
      <w:r>
        <w:rPr>
          <w:rFonts w:hint="eastAsia" w:ascii="仿宋" w:hAnsi="仿宋" w:eastAsia="仿宋" w:cs="仿宋"/>
          <w:b/>
          <w:bCs/>
          <w:color w:val="000000" w:themeColor="text1"/>
          <w:spacing w:val="-6"/>
          <w:position w:val="20"/>
          <w:sz w:val="35"/>
          <w:szCs w:val="35"/>
          <w:highlight w:val="none"/>
          <w14:textFill>
            <w14:solidFill>
              <w14:schemeClr w14:val="tx1"/>
            </w14:solidFill>
          </w14:textFill>
        </w:rPr>
        <w:br w:type="page"/>
      </w:r>
    </w:p>
    <w:p w14:paraId="140F6597">
      <w:pPr>
        <w:pStyle w:val="15"/>
        <w:rPr>
          <w:rFonts w:hint="eastAsia" w:ascii="仿宋" w:hAnsi="仿宋" w:eastAsia="仿宋" w:cs="仿宋"/>
          <w:lang w:val="zh-CN"/>
        </w:rPr>
      </w:pPr>
    </w:p>
    <w:p w14:paraId="5A191B5D">
      <w:pPr>
        <w:pStyle w:val="15"/>
        <w:rPr>
          <w:rFonts w:hint="eastAsia" w:ascii="仿宋" w:hAnsi="仿宋" w:eastAsia="仿宋" w:cs="仿宋"/>
          <w:color w:val="auto"/>
          <w:sz w:val="24"/>
          <w:szCs w:val="28"/>
          <w:highlight w:val="none"/>
          <w:lang w:val="zh-CN"/>
        </w:rPr>
      </w:pPr>
    </w:p>
    <w:p w14:paraId="2D45D635">
      <w:pPr>
        <w:rPr>
          <w:rFonts w:hint="eastAsia" w:ascii="仿宋" w:hAnsi="仿宋" w:eastAsia="仿宋" w:cs="仿宋"/>
          <w:lang w:val="zh-CN"/>
        </w:rPr>
      </w:pPr>
    </w:p>
    <w:bookmarkEnd w:id="55"/>
    <w:bookmarkEnd w:id="546"/>
    <w:bookmarkEnd w:id="547"/>
    <w:bookmarkEnd w:id="548"/>
    <w:bookmarkEnd w:id="549"/>
    <w:bookmarkEnd w:id="550"/>
    <w:bookmarkEnd w:id="551"/>
    <w:bookmarkEnd w:id="552"/>
    <w:bookmarkEnd w:id="553"/>
    <w:p w14:paraId="467D72BB">
      <w:pPr>
        <w:pStyle w:val="2"/>
        <w:shd w:val="clear"/>
        <w:outlineLvl w:val="0"/>
        <w:rPr>
          <w:rFonts w:hint="eastAsia" w:ascii="仿宋" w:hAnsi="仿宋" w:eastAsia="仿宋" w:cs="仿宋"/>
          <w:color w:val="auto"/>
          <w:highlight w:val="none"/>
        </w:rPr>
      </w:pPr>
      <w:bookmarkStart w:id="554" w:name="_Toc29357077"/>
      <w:bookmarkStart w:id="555" w:name="_Toc4007"/>
      <w:bookmarkStart w:id="556" w:name="_Toc15068"/>
      <w:bookmarkStart w:id="557" w:name="_Toc25598"/>
      <w:bookmarkStart w:id="558" w:name="_Toc9955"/>
      <w:bookmarkStart w:id="559" w:name="_Toc12047"/>
      <w:bookmarkStart w:id="560" w:name="_Toc364392642"/>
      <w:r>
        <w:rPr>
          <w:rFonts w:hint="eastAsia" w:ascii="仿宋" w:hAnsi="仿宋" w:eastAsia="仿宋" w:cs="仿宋"/>
          <w:color w:val="auto"/>
          <w:highlight w:val="none"/>
        </w:rPr>
        <w:t>第四章</w:t>
      </w:r>
      <w:bookmarkEnd w:id="554"/>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投标文件格式</w:t>
      </w:r>
      <w:bookmarkEnd w:id="555"/>
      <w:bookmarkEnd w:id="556"/>
      <w:bookmarkEnd w:id="557"/>
      <w:bookmarkEnd w:id="558"/>
      <w:bookmarkEnd w:id="559"/>
      <w:bookmarkEnd w:id="560"/>
    </w:p>
    <w:p w14:paraId="34DA87DC">
      <w:pPr>
        <w:pStyle w:val="3"/>
        <w:shd w:val="clear"/>
        <w:ind w:firstLine="0" w:firstLineChars="0"/>
        <w:jc w:val="center"/>
        <w:outlineLvl w:val="1"/>
        <w:rPr>
          <w:rFonts w:hint="eastAsia" w:ascii="仿宋" w:hAnsi="仿宋" w:eastAsia="仿宋" w:cs="仿宋"/>
          <w:color w:val="auto"/>
          <w:sz w:val="30"/>
          <w:szCs w:val="30"/>
          <w:highlight w:val="none"/>
        </w:rPr>
      </w:pPr>
      <w:bookmarkStart w:id="561" w:name="_Toc578"/>
      <w:bookmarkStart w:id="562" w:name="_Toc364392643"/>
      <w:bookmarkStart w:id="563" w:name="_Toc17057"/>
      <w:bookmarkStart w:id="564" w:name="_Toc29971"/>
      <w:bookmarkStart w:id="565" w:name="_Toc30060"/>
      <w:bookmarkStart w:id="566" w:name="_Toc363509121"/>
      <w:bookmarkStart w:id="567" w:name="_Toc3743"/>
      <w:r>
        <w:rPr>
          <w:rFonts w:hint="eastAsia" w:ascii="仿宋" w:hAnsi="仿宋" w:eastAsia="仿宋" w:cs="仿宋"/>
          <w:color w:val="auto"/>
          <w:sz w:val="30"/>
          <w:szCs w:val="30"/>
          <w:highlight w:val="none"/>
        </w:rPr>
        <w:t>一、投标文件封面</w:t>
      </w:r>
      <w:bookmarkEnd w:id="561"/>
      <w:bookmarkEnd w:id="562"/>
      <w:bookmarkEnd w:id="563"/>
      <w:bookmarkEnd w:id="564"/>
      <w:bookmarkEnd w:id="565"/>
      <w:bookmarkEnd w:id="566"/>
      <w:bookmarkEnd w:id="567"/>
    </w:p>
    <w:p w14:paraId="327CBF40">
      <w:pPr>
        <w:shd w:val="clear"/>
        <w:spacing w:line="324" w:lineRule="auto"/>
        <w:jc w:val="center"/>
        <w:rPr>
          <w:rFonts w:hint="eastAsia" w:ascii="仿宋" w:hAnsi="仿宋" w:eastAsia="仿宋" w:cs="仿宋"/>
          <w:color w:val="auto"/>
          <w:sz w:val="28"/>
          <w:highlight w:val="none"/>
        </w:rPr>
      </w:pPr>
    </w:p>
    <w:p w14:paraId="6002A5A3">
      <w:pPr>
        <w:shd w:val="clear"/>
        <w:spacing w:line="324" w:lineRule="auto"/>
        <w:jc w:val="center"/>
        <w:rPr>
          <w:rFonts w:hint="eastAsia" w:ascii="仿宋" w:hAnsi="仿宋" w:eastAsia="仿宋" w:cs="仿宋"/>
          <w:color w:val="auto"/>
          <w:sz w:val="28"/>
          <w:highlight w:val="none"/>
        </w:rPr>
      </w:pPr>
    </w:p>
    <w:p w14:paraId="3A72FF1C">
      <w:pPr>
        <w:shd w:val="clear"/>
        <w:bidi w:val="0"/>
        <w:rPr>
          <w:rFonts w:hint="eastAsia" w:ascii="仿宋" w:hAnsi="仿宋" w:eastAsia="仿宋" w:cs="仿宋"/>
          <w:color w:val="auto"/>
          <w:sz w:val="28"/>
          <w:szCs w:val="28"/>
          <w:highlight w:val="none"/>
        </w:rPr>
      </w:pPr>
    </w:p>
    <w:p w14:paraId="45D7537F">
      <w:pPr>
        <w:shd w:val="clear"/>
        <w:spacing w:line="324" w:lineRule="auto"/>
        <w:jc w:val="center"/>
        <w:rPr>
          <w:rFonts w:hint="eastAsia" w:ascii="仿宋" w:hAnsi="仿宋" w:eastAsia="仿宋" w:cs="仿宋"/>
          <w:b/>
          <w:bCs/>
          <w:color w:val="auto"/>
          <w:kern w:val="0"/>
          <w:sz w:val="44"/>
          <w:szCs w:val="44"/>
          <w:highlight w:val="none"/>
          <w:lang w:eastAsia="zh-CN"/>
        </w:rPr>
      </w:pPr>
      <w:r>
        <w:rPr>
          <w:rFonts w:hint="eastAsia" w:ascii="仿宋" w:hAnsi="仿宋" w:eastAsia="仿宋" w:cs="仿宋"/>
          <w:b/>
          <w:bCs/>
          <w:color w:val="auto"/>
          <w:kern w:val="0"/>
          <w:sz w:val="44"/>
          <w:szCs w:val="44"/>
          <w:highlight w:val="none"/>
          <w:lang w:eastAsia="zh-CN"/>
        </w:rPr>
        <w:t>永胜县中医医院中药饮片采购项目</w:t>
      </w:r>
    </w:p>
    <w:p w14:paraId="548D8FD4">
      <w:pPr>
        <w:shd w:val="clear"/>
        <w:tabs>
          <w:tab w:val="left" w:pos="5190"/>
        </w:tabs>
        <w:spacing w:line="324" w:lineRule="auto"/>
        <w:jc w:val="both"/>
        <w:rPr>
          <w:rFonts w:hint="eastAsia" w:ascii="仿宋" w:hAnsi="仿宋" w:eastAsia="仿宋" w:cs="仿宋"/>
          <w:b/>
          <w:color w:val="auto"/>
          <w:sz w:val="36"/>
          <w:highlight w:val="none"/>
        </w:rPr>
      </w:pPr>
    </w:p>
    <w:p w14:paraId="71A81DD3">
      <w:pPr>
        <w:shd w:val="clear"/>
        <w:tabs>
          <w:tab w:val="left" w:pos="5190"/>
        </w:tabs>
        <w:spacing w:line="324" w:lineRule="auto"/>
        <w:jc w:val="center"/>
        <w:rPr>
          <w:rFonts w:hint="eastAsia" w:ascii="仿宋" w:hAnsi="仿宋" w:eastAsia="仿宋" w:cs="仿宋"/>
          <w:b/>
          <w:color w:val="auto"/>
          <w:sz w:val="36"/>
          <w:highlight w:val="none"/>
          <w:lang w:val="en-US" w:eastAsia="zh-CN"/>
        </w:rPr>
      </w:pPr>
    </w:p>
    <w:p w14:paraId="1F68829F">
      <w:pPr>
        <w:shd w:val="clear"/>
        <w:tabs>
          <w:tab w:val="left" w:pos="5190"/>
        </w:tabs>
        <w:spacing w:line="324" w:lineRule="auto"/>
        <w:jc w:val="both"/>
        <w:rPr>
          <w:rFonts w:hint="eastAsia" w:ascii="仿宋" w:hAnsi="仿宋" w:eastAsia="仿宋" w:cs="仿宋"/>
          <w:b/>
          <w:color w:val="auto"/>
          <w:sz w:val="36"/>
          <w:highlight w:val="none"/>
        </w:rPr>
      </w:pPr>
    </w:p>
    <w:p w14:paraId="258A2D74">
      <w:pPr>
        <w:shd w:val="clear"/>
        <w:spacing w:line="360" w:lineRule="auto"/>
        <w:jc w:val="center"/>
        <w:rPr>
          <w:rFonts w:hint="eastAsia" w:ascii="仿宋" w:hAnsi="仿宋" w:eastAsia="仿宋" w:cs="仿宋"/>
          <w:b/>
          <w:bCs/>
          <w:color w:val="auto"/>
          <w:kern w:val="0"/>
          <w:sz w:val="72"/>
          <w:szCs w:val="72"/>
          <w:highlight w:val="none"/>
        </w:rPr>
      </w:pPr>
      <w:r>
        <w:rPr>
          <w:rFonts w:hint="eastAsia" w:ascii="仿宋" w:hAnsi="仿宋" w:eastAsia="仿宋" w:cs="仿宋"/>
          <w:b/>
          <w:bCs/>
          <w:color w:val="auto"/>
          <w:spacing w:val="217"/>
          <w:kern w:val="0"/>
          <w:sz w:val="72"/>
          <w:szCs w:val="72"/>
          <w:highlight w:val="none"/>
        </w:rPr>
        <w:t>投标文</w:t>
      </w:r>
      <w:r>
        <w:rPr>
          <w:rFonts w:hint="eastAsia" w:ascii="仿宋" w:hAnsi="仿宋" w:eastAsia="仿宋" w:cs="仿宋"/>
          <w:b/>
          <w:bCs/>
          <w:color w:val="auto"/>
          <w:kern w:val="0"/>
          <w:sz w:val="72"/>
          <w:szCs w:val="72"/>
          <w:highlight w:val="none"/>
        </w:rPr>
        <w:t>件</w:t>
      </w:r>
    </w:p>
    <w:p w14:paraId="12E58B68">
      <w:pPr>
        <w:shd w:val="clear"/>
        <w:spacing w:line="360" w:lineRule="auto"/>
        <w:jc w:val="center"/>
        <w:rPr>
          <w:rFonts w:hint="eastAsia" w:ascii="仿宋" w:hAnsi="仿宋" w:eastAsia="仿宋" w:cs="仿宋"/>
          <w:color w:val="auto"/>
          <w:sz w:val="32"/>
          <w:szCs w:val="32"/>
          <w:highlight w:val="none"/>
          <w:lang w:val="en-US" w:eastAsia="zh-CN"/>
        </w:rPr>
      </w:pPr>
      <w:bookmarkStart w:id="568" w:name="_Toc18518"/>
      <w:bookmarkStart w:id="569" w:name="_Toc1364"/>
      <w:r>
        <w:rPr>
          <w:rFonts w:hint="eastAsia" w:ascii="仿宋" w:hAnsi="仿宋" w:eastAsia="仿宋" w:cs="仿宋"/>
          <w:color w:val="auto"/>
          <w:sz w:val="32"/>
          <w:szCs w:val="32"/>
          <w:highlight w:val="none"/>
        </w:rPr>
        <w:t>项目编号：</w:t>
      </w:r>
      <w:bookmarkEnd w:id="568"/>
      <w:bookmarkEnd w:id="569"/>
      <w:r>
        <w:rPr>
          <w:rFonts w:hint="eastAsia" w:ascii="仿宋" w:hAnsi="仿宋" w:eastAsia="仿宋" w:cs="仿宋"/>
          <w:b/>
          <w:color w:val="auto"/>
          <w:sz w:val="32"/>
          <w:szCs w:val="32"/>
          <w:highlight w:val="none"/>
          <w:lang w:eastAsia="zh-CN"/>
        </w:rPr>
        <w:t>LJZC2025-G1-00112-YNLB-0058</w:t>
      </w:r>
    </w:p>
    <w:p w14:paraId="25FA68EF">
      <w:pPr>
        <w:shd w:val="clear"/>
        <w:spacing w:line="324" w:lineRule="auto"/>
        <w:jc w:val="center"/>
        <w:rPr>
          <w:rFonts w:hint="eastAsia" w:ascii="仿宋" w:hAnsi="仿宋" w:eastAsia="仿宋" w:cs="仿宋"/>
          <w:color w:val="auto"/>
          <w:sz w:val="32"/>
          <w:szCs w:val="32"/>
          <w:highlight w:val="none"/>
        </w:rPr>
      </w:pPr>
    </w:p>
    <w:p w14:paraId="03D5C58E">
      <w:pPr>
        <w:shd w:val="clear"/>
        <w:tabs>
          <w:tab w:val="left" w:pos="5190"/>
        </w:tabs>
        <w:spacing w:line="324" w:lineRule="auto"/>
        <w:jc w:val="center"/>
        <w:rPr>
          <w:rFonts w:hint="eastAsia" w:ascii="仿宋" w:hAnsi="仿宋" w:eastAsia="仿宋" w:cs="仿宋"/>
          <w:color w:val="auto"/>
          <w:sz w:val="32"/>
          <w:szCs w:val="32"/>
          <w:highlight w:val="none"/>
        </w:rPr>
      </w:pPr>
    </w:p>
    <w:p w14:paraId="4FF4484E">
      <w:pPr>
        <w:shd w:val="clear"/>
        <w:tabs>
          <w:tab w:val="left" w:pos="5190"/>
        </w:tabs>
        <w:spacing w:line="324" w:lineRule="auto"/>
        <w:rPr>
          <w:rFonts w:hint="eastAsia" w:ascii="仿宋" w:hAnsi="仿宋" w:eastAsia="仿宋" w:cs="仿宋"/>
          <w:color w:val="auto"/>
          <w:sz w:val="32"/>
          <w:szCs w:val="32"/>
          <w:highlight w:val="none"/>
        </w:rPr>
      </w:pPr>
    </w:p>
    <w:p w14:paraId="7A7149AD">
      <w:pPr>
        <w:shd w:val="clear"/>
        <w:tabs>
          <w:tab w:val="left" w:pos="5190"/>
        </w:tabs>
        <w:spacing w:line="324" w:lineRule="auto"/>
        <w:rPr>
          <w:rFonts w:hint="eastAsia" w:ascii="仿宋" w:hAnsi="仿宋" w:eastAsia="仿宋" w:cs="仿宋"/>
          <w:color w:val="auto"/>
          <w:sz w:val="32"/>
          <w:szCs w:val="32"/>
          <w:highlight w:val="none"/>
        </w:rPr>
      </w:pPr>
    </w:p>
    <w:p w14:paraId="2FF46834">
      <w:pPr>
        <w:shd w:val="clear"/>
        <w:spacing w:line="360" w:lineRule="auto"/>
        <w:ind w:firstLine="640" w:firstLineChars="200"/>
        <w:jc w:val="left"/>
        <w:rPr>
          <w:rFonts w:hint="eastAsia" w:ascii="仿宋" w:hAnsi="仿宋" w:eastAsia="仿宋" w:cs="仿宋"/>
          <w:color w:val="auto"/>
          <w:sz w:val="32"/>
          <w:szCs w:val="32"/>
          <w:highlight w:val="none"/>
          <w:u w:val="single"/>
          <w:lang w:val="en-US" w:eastAsia="zh-CN"/>
        </w:rPr>
      </w:pPr>
      <w:bookmarkStart w:id="570" w:name="_Toc7928"/>
      <w:bookmarkStart w:id="571" w:name="_Toc14512"/>
      <w:r>
        <w:rPr>
          <w:rFonts w:hint="eastAsia" w:ascii="仿宋" w:hAnsi="仿宋" w:eastAsia="仿宋" w:cs="仿宋"/>
          <w:color w:val="auto"/>
          <w:sz w:val="32"/>
          <w:szCs w:val="32"/>
          <w:highlight w:val="none"/>
        </w:rPr>
        <w:t>投标人（电子公章）：</w:t>
      </w:r>
      <w:bookmarkEnd w:id="570"/>
      <w:bookmarkEnd w:id="571"/>
      <w:r>
        <w:rPr>
          <w:rFonts w:hint="eastAsia" w:ascii="仿宋" w:hAnsi="仿宋" w:eastAsia="仿宋" w:cs="仿宋"/>
          <w:color w:val="auto"/>
          <w:sz w:val="32"/>
          <w:szCs w:val="32"/>
          <w:highlight w:val="none"/>
          <w:u w:val="single"/>
          <w:lang w:val="en-US" w:eastAsia="zh-CN"/>
        </w:rPr>
        <w:t xml:space="preserve">                      </w:t>
      </w:r>
    </w:p>
    <w:p w14:paraId="21B31701">
      <w:pPr>
        <w:shd w:val="clear"/>
        <w:tabs>
          <w:tab w:val="left" w:pos="5190"/>
        </w:tabs>
        <w:spacing w:line="360" w:lineRule="auto"/>
        <w:ind w:firstLine="640" w:firstLineChars="200"/>
        <w:jc w:val="left"/>
        <w:rPr>
          <w:rFonts w:hint="eastAsia" w:ascii="仿宋" w:hAnsi="仿宋" w:eastAsia="仿宋" w:cs="仿宋"/>
          <w:color w:val="auto"/>
          <w:sz w:val="32"/>
          <w:szCs w:val="32"/>
          <w:highlight w:val="none"/>
          <w:u w:val="single"/>
          <w:lang w:val="en-US" w:eastAsia="zh-CN"/>
        </w:rPr>
      </w:pPr>
      <w:bookmarkStart w:id="572" w:name="_Toc4400"/>
      <w:bookmarkStart w:id="573" w:name="_Toc19495"/>
      <w:r>
        <w:rPr>
          <w:rFonts w:hint="eastAsia" w:ascii="仿宋" w:hAnsi="仿宋" w:eastAsia="仿宋" w:cs="仿宋"/>
          <w:color w:val="auto"/>
          <w:sz w:val="32"/>
          <w:szCs w:val="32"/>
          <w:highlight w:val="none"/>
        </w:rPr>
        <w:t>法定代表人或委托代理人（</w:t>
      </w:r>
      <w:r>
        <w:rPr>
          <w:rFonts w:hint="eastAsia" w:ascii="仿宋" w:hAnsi="仿宋" w:eastAsia="仿宋" w:cs="仿宋"/>
          <w:color w:val="auto"/>
          <w:sz w:val="32"/>
          <w:szCs w:val="32"/>
          <w:highlight w:val="none"/>
          <w:lang w:eastAsia="zh-CN"/>
        </w:rPr>
        <w:t>电子签章</w:t>
      </w:r>
      <w:r>
        <w:rPr>
          <w:rFonts w:hint="eastAsia" w:ascii="仿宋" w:hAnsi="仿宋" w:eastAsia="仿宋" w:cs="仿宋"/>
          <w:color w:val="auto"/>
          <w:sz w:val="32"/>
          <w:szCs w:val="32"/>
          <w:highlight w:val="none"/>
        </w:rPr>
        <w:t>）：</w:t>
      </w:r>
      <w:bookmarkEnd w:id="572"/>
      <w:bookmarkEnd w:id="573"/>
      <w:r>
        <w:rPr>
          <w:rFonts w:hint="eastAsia" w:ascii="仿宋" w:hAnsi="仿宋" w:eastAsia="仿宋" w:cs="仿宋"/>
          <w:color w:val="auto"/>
          <w:sz w:val="32"/>
          <w:szCs w:val="32"/>
          <w:highlight w:val="none"/>
          <w:u w:val="single"/>
          <w:lang w:val="en-US" w:eastAsia="zh-CN"/>
        </w:rPr>
        <w:t xml:space="preserve">       </w:t>
      </w:r>
    </w:p>
    <w:p w14:paraId="5A3681C5">
      <w:pPr>
        <w:shd w:val="clear"/>
        <w:spacing w:line="360" w:lineRule="auto"/>
        <w:ind w:firstLine="640" w:firstLineChars="200"/>
        <w:jc w:val="left"/>
        <w:rPr>
          <w:rFonts w:hint="eastAsia" w:ascii="仿宋" w:hAnsi="仿宋" w:eastAsia="仿宋" w:cs="仿宋"/>
          <w:color w:val="auto"/>
          <w:sz w:val="32"/>
          <w:szCs w:val="32"/>
          <w:highlight w:val="none"/>
          <w:u w:val="single"/>
          <w:lang w:val="en-US" w:eastAsia="zh-CN"/>
        </w:rPr>
      </w:pPr>
      <w:bookmarkStart w:id="574" w:name="_Toc5064"/>
      <w:bookmarkStart w:id="575" w:name="_Toc16680"/>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月</w:t>
      </w:r>
      <w:bookmarkEnd w:id="574"/>
      <w:bookmarkEnd w:id="575"/>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日</w:t>
      </w:r>
    </w:p>
    <w:p w14:paraId="27E52D0D">
      <w:pPr>
        <w:rPr>
          <w:rFonts w:hint="eastAsia" w:ascii="仿宋" w:hAnsi="仿宋" w:eastAsia="仿宋" w:cs="仿宋"/>
          <w:color w:val="auto"/>
          <w:sz w:val="30"/>
          <w:szCs w:val="30"/>
          <w:highlight w:val="none"/>
        </w:rPr>
      </w:pPr>
      <w:bookmarkStart w:id="576" w:name="_Toc406162617"/>
      <w:bookmarkStart w:id="577" w:name="_Toc391301871"/>
      <w:bookmarkStart w:id="578" w:name="_Toc383636412"/>
      <w:bookmarkStart w:id="579" w:name="_Toc26634"/>
      <w:bookmarkStart w:id="580" w:name="_Toc27365"/>
      <w:bookmarkStart w:id="581" w:name="_Toc13968"/>
      <w:bookmarkStart w:id="582" w:name="_Toc4422"/>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br w:type="page"/>
      </w:r>
    </w:p>
    <w:p w14:paraId="43E4D6CB">
      <w:pPr>
        <w:pStyle w:val="3"/>
        <w:jc w:val="center"/>
        <w:outlineLvl w:val="1"/>
        <w:rPr>
          <w:rFonts w:hint="eastAsia" w:ascii="仿宋" w:hAnsi="仿宋" w:eastAsia="仿宋" w:cs="仿宋"/>
          <w:color w:val="auto"/>
          <w:sz w:val="30"/>
          <w:szCs w:val="30"/>
          <w:highlight w:val="none"/>
          <w:lang w:val="en-US" w:eastAsia="zh-CN"/>
        </w:rPr>
      </w:pPr>
      <w:bookmarkStart w:id="583" w:name="_Toc12780"/>
      <w:r>
        <w:rPr>
          <w:rFonts w:hint="eastAsia" w:ascii="仿宋" w:hAnsi="仿宋" w:eastAsia="仿宋" w:cs="仿宋"/>
          <w:color w:val="auto"/>
          <w:sz w:val="30"/>
          <w:szCs w:val="30"/>
          <w:highlight w:val="none"/>
          <w:lang w:val="en-US" w:eastAsia="zh-CN"/>
        </w:rPr>
        <w:t>目录</w:t>
      </w:r>
      <w:bookmarkEnd w:id="583"/>
    </w:p>
    <w:p w14:paraId="10FABEB4">
      <w:pP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格式自拟</w:t>
      </w:r>
    </w:p>
    <w:p w14:paraId="77AD07D3">
      <w:pP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br w:type="page"/>
      </w:r>
    </w:p>
    <w:p w14:paraId="1F6B959E">
      <w:pPr>
        <w:rPr>
          <w:rFonts w:hint="default" w:ascii="仿宋" w:hAnsi="仿宋" w:eastAsia="仿宋" w:cs="仿宋"/>
          <w:color w:val="auto"/>
          <w:sz w:val="30"/>
          <w:szCs w:val="30"/>
          <w:highlight w:val="none"/>
          <w:lang w:val="en-US" w:eastAsia="zh-CN"/>
        </w:rPr>
      </w:pPr>
    </w:p>
    <w:p w14:paraId="7C06C786">
      <w:pPr>
        <w:pStyle w:val="3"/>
        <w:shd w:val="clear"/>
        <w:ind w:firstLine="0" w:firstLineChars="0"/>
        <w:jc w:val="center"/>
        <w:outlineLvl w:val="1"/>
        <w:rPr>
          <w:rFonts w:hint="eastAsia" w:ascii="仿宋" w:hAnsi="仿宋" w:eastAsia="仿宋" w:cs="仿宋"/>
          <w:color w:val="auto"/>
          <w:sz w:val="30"/>
          <w:szCs w:val="30"/>
          <w:highlight w:val="none"/>
        </w:rPr>
      </w:pPr>
      <w:bookmarkStart w:id="584" w:name="_Toc25975"/>
      <w:r>
        <w:rPr>
          <w:rFonts w:hint="eastAsia" w:ascii="仿宋" w:hAnsi="仿宋" w:eastAsia="仿宋" w:cs="仿宋"/>
          <w:color w:val="auto"/>
          <w:sz w:val="30"/>
          <w:szCs w:val="30"/>
          <w:highlight w:val="none"/>
        </w:rPr>
        <w:t>二、开标一览表</w:t>
      </w:r>
      <w:bookmarkEnd w:id="576"/>
      <w:bookmarkEnd w:id="577"/>
      <w:bookmarkEnd w:id="578"/>
      <w:bookmarkEnd w:id="579"/>
      <w:bookmarkEnd w:id="580"/>
      <w:bookmarkEnd w:id="581"/>
      <w:bookmarkEnd w:id="582"/>
      <w:bookmarkEnd w:id="584"/>
    </w:p>
    <w:p w14:paraId="6AA401C0">
      <w:pPr>
        <w:shd w:val="clear"/>
        <w:spacing w:line="360" w:lineRule="auto"/>
        <w:rPr>
          <w:rFonts w:hint="eastAsia" w:ascii="仿宋" w:hAnsi="仿宋" w:eastAsia="仿宋" w:cs="仿宋"/>
          <w:color w:val="auto"/>
          <w:sz w:val="24"/>
          <w:szCs w:val="24"/>
          <w:highlight w:val="none"/>
          <w:lang w:eastAsia="zh-CN"/>
        </w:rPr>
      </w:pPr>
      <w:bookmarkStart w:id="585" w:name="_Toc469987739"/>
      <w:bookmarkStart w:id="586" w:name="_Toc469987153"/>
      <w:bookmarkStart w:id="587" w:name="_Toc383636441"/>
      <w:bookmarkStart w:id="588" w:name="_Toc406162643"/>
      <w:bookmarkStart w:id="589" w:name="_Toc391301900"/>
      <w:bookmarkStart w:id="590" w:name="_Toc482189277"/>
      <w:bookmarkStart w:id="591" w:name="_Toc38173201"/>
      <w:bookmarkStart w:id="592" w:name="_Toc327881157"/>
      <w:bookmarkStart w:id="593" w:name="_Toc364392656"/>
      <w:bookmarkStart w:id="594" w:name="_Toc231871465"/>
      <w:bookmarkStart w:id="595" w:name="_Toc364392659"/>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永胜县中医医院中药饮片采购项目</w:t>
      </w:r>
    </w:p>
    <w:p w14:paraId="4A3937F1">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eastAsia="zh-CN"/>
        </w:rPr>
        <w:t>LJZC2025-G1-00112-YNLB-0058</w:t>
      </w:r>
    </w:p>
    <w:tbl>
      <w:tblPr>
        <w:tblStyle w:val="23"/>
        <w:tblW w:w="9376"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6698"/>
      </w:tblGrid>
      <w:tr w14:paraId="3E97ACE4">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78" w:type="dxa"/>
            <w:vAlign w:val="center"/>
          </w:tcPr>
          <w:p w14:paraId="3F571F38">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p>
        </w:tc>
        <w:tc>
          <w:tcPr>
            <w:tcW w:w="6698" w:type="dxa"/>
            <w:vAlign w:val="center"/>
          </w:tcPr>
          <w:p w14:paraId="73B69346">
            <w:pPr>
              <w:shd w:val="clear" w:fill="FFFFFF" w:themeFill="background1"/>
              <w:spacing w:before="120" w:after="120" w:line="240" w:lineRule="atLeast"/>
              <w:jc w:val="left"/>
              <w:rPr>
                <w:rFonts w:hint="eastAsia" w:ascii="仿宋" w:hAnsi="仿宋" w:eastAsia="仿宋" w:cs="仿宋"/>
                <w:color w:val="auto"/>
                <w:sz w:val="24"/>
                <w:szCs w:val="24"/>
                <w:highlight w:val="none"/>
                <w:lang w:val="en-US" w:eastAsia="zh-CN"/>
              </w:rPr>
            </w:pPr>
          </w:p>
        </w:tc>
      </w:tr>
      <w:tr w14:paraId="1B5DE957">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78" w:type="dxa"/>
            <w:vAlign w:val="center"/>
          </w:tcPr>
          <w:p w14:paraId="30701993">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下浮</w:t>
            </w:r>
            <w:r>
              <w:rPr>
                <w:rFonts w:hint="eastAsia" w:ascii="仿宋" w:hAnsi="仿宋" w:eastAsia="仿宋" w:cs="仿宋"/>
                <w:color w:val="auto"/>
                <w:sz w:val="24"/>
                <w:szCs w:val="24"/>
                <w:highlight w:val="none"/>
              </w:rPr>
              <w:t>）</w:t>
            </w:r>
          </w:p>
        </w:tc>
        <w:tc>
          <w:tcPr>
            <w:tcW w:w="6698" w:type="dxa"/>
            <w:vAlign w:val="center"/>
          </w:tcPr>
          <w:p w14:paraId="4144052D">
            <w:pPr>
              <w:shd w:val="clear" w:fill="FFFFFF" w:themeFill="background1"/>
              <w:spacing w:before="120" w:after="120" w:line="240" w:lineRule="atLeas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优惠（下浮）        %。</w:t>
            </w:r>
          </w:p>
          <w:p w14:paraId="10421BA2">
            <w:pPr>
              <w:shd w:val="clear" w:fill="FFFFFF" w:themeFill="background1"/>
              <w:spacing w:before="120" w:after="120" w:line="240" w:lineRule="atLeas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注：该下浮（优惠）率适用于本招标文件第五章《采购需求》中罗列的全部中药饮片综合单价的优惠【即中标单价=采购单价×（1-下浮率）】，采购单价具体详见采购需求。</w:t>
            </w:r>
          </w:p>
        </w:tc>
      </w:tr>
      <w:tr w14:paraId="5FE6D701">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78" w:type="dxa"/>
            <w:vAlign w:val="center"/>
          </w:tcPr>
          <w:p w14:paraId="452AC3AA">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w:t>
            </w:r>
          </w:p>
        </w:tc>
        <w:tc>
          <w:tcPr>
            <w:tcW w:w="6698" w:type="dxa"/>
            <w:vAlign w:val="center"/>
          </w:tcPr>
          <w:p w14:paraId="1973EE68">
            <w:pPr>
              <w:keepNext w:val="0"/>
              <w:keepLines w:val="0"/>
              <w:pageBreakBefore w:val="0"/>
              <w:widowControl w:val="0"/>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4"/>
                <w:highlight w:val="none"/>
                <w:lang w:val="en-US" w:eastAsia="zh-CN"/>
              </w:rPr>
            </w:pPr>
          </w:p>
        </w:tc>
      </w:tr>
      <w:tr w14:paraId="4468756C">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678" w:type="dxa"/>
            <w:vAlign w:val="center"/>
          </w:tcPr>
          <w:p w14:paraId="63FB50A2">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交货期限</w:t>
            </w:r>
          </w:p>
        </w:tc>
        <w:tc>
          <w:tcPr>
            <w:tcW w:w="6698" w:type="dxa"/>
            <w:vAlign w:val="center"/>
          </w:tcPr>
          <w:p w14:paraId="21CB17B3">
            <w:pPr>
              <w:shd w:val="clear" w:fill="FFFFFF" w:themeFill="background1"/>
              <w:spacing w:before="120" w:after="120" w:line="240" w:lineRule="atLeast"/>
              <w:jc w:val="both"/>
              <w:rPr>
                <w:rFonts w:hint="eastAsia" w:ascii="仿宋" w:hAnsi="仿宋" w:eastAsia="仿宋" w:cs="仿宋"/>
                <w:color w:val="auto"/>
                <w:sz w:val="24"/>
                <w:szCs w:val="24"/>
                <w:highlight w:val="none"/>
                <w:lang w:val="en-US" w:eastAsia="zh-CN"/>
              </w:rPr>
            </w:pPr>
          </w:p>
        </w:tc>
      </w:tr>
      <w:tr w14:paraId="378FDE43">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678" w:type="dxa"/>
            <w:vAlign w:val="center"/>
          </w:tcPr>
          <w:p w14:paraId="4D5AC02F">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保质期</w:t>
            </w:r>
          </w:p>
        </w:tc>
        <w:tc>
          <w:tcPr>
            <w:tcW w:w="6698" w:type="dxa"/>
            <w:vAlign w:val="center"/>
          </w:tcPr>
          <w:p w14:paraId="0844CD7E">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p>
        </w:tc>
      </w:tr>
      <w:tr w14:paraId="7F9DF31A">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78" w:type="dxa"/>
            <w:vAlign w:val="center"/>
          </w:tcPr>
          <w:p w14:paraId="62F239A3">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6698" w:type="dxa"/>
            <w:vAlign w:val="center"/>
          </w:tcPr>
          <w:p w14:paraId="5720050B">
            <w:pPr>
              <w:shd w:val="clear" w:fill="FFFFFF" w:themeFill="background1"/>
              <w:spacing w:before="120" w:after="120" w:line="240" w:lineRule="atLeast"/>
              <w:jc w:val="center"/>
              <w:rPr>
                <w:rFonts w:hint="eastAsia" w:ascii="仿宋" w:hAnsi="仿宋" w:eastAsia="仿宋" w:cs="仿宋"/>
                <w:color w:val="auto"/>
                <w:sz w:val="24"/>
                <w:szCs w:val="24"/>
                <w:highlight w:val="none"/>
                <w:lang w:val="en-US" w:eastAsia="zh-CN"/>
              </w:rPr>
            </w:pPr>
          </w:p>
        </w:tc>
      </w:tr>
    </w:tbl>
    <w:p w14:paraId="31991C75">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C3E9C1A">
      <w:pPr>
        <w:shd w:val="clear" w:fill="FFFFFF" w:themeFill="background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39F24C1">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F52DB38">
      <w:pPr>
        <w:pStyle w:val="14"/>
        <w:keepNext w:val="0"/>
        <w:keepLines w:val="0"/>
        <w:pageBreakBefore w:val="0"/>
        <w:widowControl/>
        <w:shd w:val="clear"/>
        <w:kinsoku/>
        <w:wordWrap/>
        <w:overflowPunct/>
        <w:topLinePunct w:val="0"/>
        <w:autoSpaceDE/>
        <w:autoSpaceDN/>
        <w:bidi w:val="0"/>
        <w:adjustRightInd/>
        <w:snapToGrid/>
        <w:spacing w:line="440" w:lineRule="exact"/>
        <w:ind w:left="-420" w:leftChars="-200" w:right="-420" w:rightChars="-200" w:firstLine="422" w:firstLineChars="200"/>
        <w:textAlignment w:val="auto"/>
        <w:rPr>
          <w:rFonts w:hint="eastAsia" w:ascii="仿宋" w:hAnsi="仿宋" w:eastAsia="仿宋" w:cs="仿宋"/>
          <w:b/>
          <w:bCs/>
          <w:color w:val="auto"/>
          <w:sz w:val="21"/>
          <w:szCs w:val="21"/>
          <w:highlight w:val="none"/>
        </w:rPr>
      </w:pPr>
    </w:p>
    <w:p w14:paraId="5132E781">
      <w:pPr>
        <w:pStyle w:val="14"/>
        <w:keepNext w:val="0"/>
        <w:keepLines w:val="0"/>
        <w:pageBreakBefore w:val="0"/>
        <w:widowControl/>
        <w:shd w:val="clear"/>
        <w:kinsoku/>
        <w:wordWrap/>
        <w:overflowPunct/>
        <w:topLinePunct w:val="0"/>
        <w:autoSpaceDE/>
        <w:autoSpaceDN/>
        <w:bidi w:val="0"/>
        <w:adjustRightInd/>
        <w:snapToGrid/>
        <w:spacing w:line="440" w:lineRule="exact"/>
        <w:ind w:left="-420" w:leftChars="-200" w:right="-420" w:rightChars="-20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特别注意：&lt;</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&gt;投标人可根据自身投标情况，按规定表格填报、不得漏报。</w:t>
      </w:r>
    </w:p>
    <w:p w14:paraId="27D37498">
      <w:pPr>
        <w:pStyle w:val="14"/>
        <w:keepNext w:val="0"/>
        <w:keepLines w:val="0"/>
        <w:pageBreakBefore w:val="0"/>
        <w:widowControl/>
        <w:shd w:val="clear"/>
        <w:kinsoku/>
        <w:wordWrap/>
        <w:overflowPunct/>
        <w:topLinePunct w:val="0"/>
        <w:autoSpaceDE/>
        <w:autoSpaceDN/>
        <w:bidi w:val="0"/>
        <w:adjustRightInd/>
        <w:snapToGrid/>
        <w:spacing w:line="440" w:lineRule="exact"/>
        <w:ind w:left="-420" w:leftChars="-200" w:right="-420" w:rightChars="-200" w:firstLine="42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1"/>
          <w:szCs w:val="21"/>
          <w:highlight w:val="none"/>
        </w:rPr>
        <w:t>&lt;</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&gt;</w:t>
      </w:r>
      <w:r>
        <w:rPr>
          <w:rFonts w:hint="eastAsia" w:ascii="仿宋" w:hAnsi="仿宋" w:eastAsia="仿宋" w:cs="仿宋"/>
          <w:b/>
          <w:bCs/>
          <w:color w:val="auto"/>
          <w:sz w:val="21"/>
          <w:szCs w:val="21"/>
          <w:highlight w:val="none"/>
          <w:lang w:val="en-US" w:eastAsia="zh-CN"/>
        </w:rPr>
        <w:t>开标</w:t>
      </w:r>
      <w:r>
        <w:rPr>
          <w:rFonts w:hint="eastAsia" w:ascii="仿宋" w:hAnsi="仿宋" w:eastAsia="仿宋" w:cs="仿宋"/>
          <w:b/>
          <w:bCs/>
          <w:color w:val="auto"/>
          <w:sz w:val="21"/>
          <w:szCs w:val="21"/>
          <w:highlight w:val="none"/>
        </w:rPr>
        <w:t>一览表内容应与投标文件内容相一致，当两者不相符时，以《</w:t>
      </w:r>
      <w:r>
        <w:rPr>
          <w:rFonts w:hint="eastAsia" w:ascii="仿宋" w:hAnsi="仿宋" w:eastAsia="仿宋" w:cs="仿宋"/>
          <w:b/>
          <w:bCs/>
          <w:color w:val="auto"/>
          <w:sz w:val="21"/>
          <w:szCs w:val="21"/>
          <w:highlight w:val="none"/>
          <w:lang w:val="en-US" w:eastAsia="zh-CN"/>
        </w:rPr>
        <w:t>开标</w:t>
      </w:r>
      <w:r>
        <w:rPr>
          <w:rFonts w:hint="eastAsia" w:ascii="仿宋" w:hAnsi="仿宋" w:eastAsia="仿宋" w:cs="仿宋"/>
          <w:b/>
          <w:bCs/>
          <w:color w:val="auto"/>
          <w:sz w:val="21"/>
          <w:szCs w:val="21"/>
          <w:highlight w:val="none"/>
        </w:rPr>
        <w:t>一览表》为准。</w:t>
      </w:r>
    </w:p>
    <w:p w14:paraId="34C4027E">
      <w:pPr>
        <w:keepNext w:val="0"/>
        <w:keepLines w:val="0"/>
        <w:pageBreakBefore w:val="0"/>
        <w:widowControl/>
        <w:shd w:val="clear"/>
        <w:kinsoku/>
        <w:wordWrap/>
        <w:overflowPunct/>
        <w:topLinePunct w:val="0"/>
        <w:autoSpaceDE/>
        <w:autoSpaceDN/>
        <w:bidi w:val="0"/>
        <w:adjustRightInd/>
        <w:snapToGrid/>
        <w:spacing w:line="360" w:lineRule="auto"/>
        <w:ind w:left="-420" w:leftChars="-200" w:right="-420" w:rightChars="-200"/>
        <w:jc w:val="left"/>
        <w:textAlignment w:val="auto"/>
        <w:rPr>
          <w:rFonts w:hint="eastAsia" w:ascii="仿宋" w:hAnsi="仿宋" w:eastAsia="仿宋" w:cs="仿宋"/>
          <w:color w:val="auto"/>
          <w:highlight w:val="none"/>
        </w:rPr>
      </w:pPr>
    </w:p>
    <w:p w14:paraId="70A2785C">
      <w:pPr>
        <w:pStyle w:val="14"/>
        <w:rPr>
          <w:rFonts w:hint="eastAsia" w:ascii="仿宋" w:hAnsi="仿宋" w:eastAsia="仿宋" w:cs="仿宋"/>
          <w:color w:val="auto"/>
          <w:highlight w:val="none"/>
        </w:rPr>
        <w:sectPr>
          <w:footerReference r:id="rId6" w:type="default"/>
          <w:pgSz w:w="11906" w:h="16838"/>
          <w:pgMar w:top="1134" w:right="1247" w:bottom="1134" w:left="1247" w:header="567" w:footer="567" w:gutter="0"/>
          <w:pgBorders>
            <w:top w:val="none" w:sz="0" w:space="0"/>
            <w:left w:val="none" w:sz="0" w:space="0"/>
            <w:bottom w:val="none" w:sz="0" w:space="0"/>
            <w:right w:val="none" w:sz="0" w:space="0"/>
          </w:pgBorders>
          <w:cols w:space="0" w:num="1"/>
          <w:rtlGutter w:val="0"/>
          <w:docGrid w:linePitch="312" w:charSpace="0"/>
        </w:sectPr>
      </w:pPr>
    </w:p>
    <w:p w14:paraId="491ABB67">
      <w:pPr>
        <w:pStyle w:val="14"/>
        <w:shd w:val="clear"/>
        <w:rPr>
          <w:rFonts w:hint="eastAsia" w:ascii="仿宋" w:hAnsi="仿宋" w:eastAsia="仿宋" w:cs="仿宋"/>
          <w:color w:val="auto"/>
          <w:highlight w:val="none"/>
        </w:rPr>
      </w:pPr>
    </w:p>
    <w:p w14:paraId="4389AC8F">
      <w:pPr>
        <w:pStyle w:val="3"/>
        <w:shd w:val="clear"/>
        <w:ind w:firstLine="0" w:firstLineChars="0"/>
        <w:jc w:val="center"/>
        <w:outlineLvl w:val="1"/>
        <w:rPr>
          <w:rFonts w:hint="eastAsia" w:ascii="仿宋" w:hAnsi="仿宋" w:eastAsia="仿宋" w:cs="仿宋"/>
          <w:color w:val="auto"/>
          <w:sz w:val="30"/>
          <w:szCs w:val="30"/>
          <w:highlight w:val="none"/>
        </w:rPr>
      </w:pPr>
      <w:bookmarkStart w:id="596" w:name="_Toc383636413"/>
      <w:bookmarkStart w:id="597" w:name="_Toc527634722"/>
      <w:bookmarkStart w:id="598" w:name="_Toc391301872"/>
      <w:bookmarkStart w:id="599" w:name="_Toc14401"/>
      <w:bookmarkStart w:id="600" w:name="_Toc406162618"/>
      <w:bookmarkStart w:id="601" w:name="_Toc9661"/>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、资格审查文件部分</w:t>
      </w:r>
      <w:bookmarkEnd w:id="596"/>
      <w:bookmarkEnd w:id="597"/>
      <w:bookmarkEnd w:id="598"/>
      <w:bookmarkEnd w:id="599"/>
      <w:bookmarkEnd w:id="600"/>
      <w:bookmarkEnd w:id="601"/>
    </w:p>
    <w:p w14:paraId="7177E5B6">
      <w:pPr>
        <w:pStyle w:val="10"/>
        <w:shd w:val="clear"/>
        <w:rPr>
          <w:rFonts w:hint="eastAsia" w:ascii="仿宋" w:hAnsi="仿宋" w:eastAsia="仿宋" w:cs="仿宋"/>
          <w:color w:val="auto"/>
          <w:highlight w:val="none"/>
        </w:rPr>
      </w:pPr>
    </w:p>
    <w:p w14:paraId="54C6AAB7">
      <w:pPr>
        <w:keepNext/>
        <w:keepLines/>
        <w:shd w:val="clear"/>
        <w:spacing w:before="60" w:after="60" w:line="360" w:lineRule="auto"/>
        <w:ind w:firstLine="723" w:firstLineChars="30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rPr>
        <w:t>、具有独立承担民事责任的能力</w:t>
      </w:r>
    </w:p>
    <w:p w14:paraId="7B373A28">
      <w:pPr>
        <w:shd w:val="clear" w:fill="FFFFFF" w:themeFill="background1"/>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①若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为企业法人：</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提供“营业执照”；②若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为事业法人：</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提供“事业单位法人证书或统一社会信用代码证书”；③若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为其他组织：</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提供“对应主管部门颁发的准许执业证明文件或营业执照”；④若</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为自然人：</w:t>
      </w:r>
      <w:r>
        <w:rPr>
          <w:rFonts w:hint="eastAsia" w:ascii="仿宋" w:hAnsi="仿宋" w:eastAsia="仿宋" w:cs="仿宋"/>
          <w:color w:val="auto"/>
          <w:sz w:val="24"/>
          <w:highlight w:val="none"/>
          <w:lang w:val="en-US" w:eastAsia="zh-CN"/>
        </w:rPr>
        <w:t>则</w:t>
      </w:r>
      <w:r>
        <w:rPr>
          <w:rFonts w:hint="eastAsia" w:ascii="仿宋" w:hAnsi="仿宋" w:eastAsia="仿宋" w:cs="仿宋"/>
          <w:color w:val="auto"/>
          <w:sz w:val="24"/>
          <w:highlight w:val="none"/>
        </w:rPr>
        <w:t>提供“身份证明材料”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注：上述材料需提供扫描件</w:t>
      </w:r>
      <w:r>
        <w:rPr>
          <w:rFonts w:hint="eastAsia" w:ascii="仿宋" w:hAnsi="仿宋" w:eastAsia="仿宋" w:cs="仿宋"/>
          <w:color w:val="auto"/>
          <w:sz w:val="24"/>
          <w:highlight w:val="none"/>
          <w:lang w:eastAsia="zh-CN"/>
        </w:rPr>
        <w:t>）</w:t>
      </w:r>
    </w:p>
    <w:p w14:paraId="27B8A85C">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p>
    <w:p w14:paraId="4AAE1C6F">
      <w:pPr>
        <w:keepNext/>
        <w:keepLines/>
        <w:shd w:val="clear"/>
        <w:spacing w:before="60" w:after="60" w:line="360" w:lineRule="auto"/>
        <w:ind w:firstLine="723" w:firstLineChars="30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格式2</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有良好的商业信誉和健全的财务会计制度</w:t>
      </w:r>
    </w:p>
    <w:p w14:paraId="04907F0D">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①提供2022年（含2022年）至今任意一年度经审计的财务会计报告及</w:t>
      </w:r>
      <w:r>
        <w:rPr>
          <w:rFonts w:hint="eastAsia" w:ascii="仿宋" w:hAnsi="仿宋" w:eastAsia="仿宋" w:cs="仿宋"/>
          <w:sz w:val="24"/>
          <w:highlight w:val="none"/>
        </w:rPr>
        <w:t>财务报表（包括资产负债表、利润表、现金流量表）</w:t>
      </w:r>
      <w:r>
        <w:rPr>
          <w:rFonts w:hint="eastAsia" w:ascii="仿宋" w:hAnsi="仿宋" w:eastAsia="仿宋" w:cs="仿宋"/>
          <w:color w:val="auto"/>
          <w:sz w:val="24"/>
          <w:szCs w:val="22"/>
          <w:highlight w:val="none"/>
          <w:lang w:eastAsia="zh-CN"/>
        </w:rPr>
        <w:t>，成立不满1年的，提供自成立至今的财务报表（包括资产负债表、利润表、现金流量表）（</w:t>
      </w:r>
      <w:r>
        <w:rPr>
          <w:rFonts w:hint="eastAsia" w:ascii="仿宋" w:hAnsi="仿宋" w:eastAsia="仿宋" w:cs="仿宋"/>
          <w:color w:val="auto"/>
          <w:sz w:val="24"/>
          <w:szCs w:val="22"/>
          <w:highlight w:val="none"/>
          <w:lang w:val="en-US" w:eastAsia="zh-CN"/>
        </w:rPr>
        <w:t>若</w:t>
      </w:r>
      <w:r>
        <w:rPr>
          <w:rFonts w:hint="eastAsia" w:ascii="仿宋" w:hAnsi="仿宋" w:eastAsia="仿宋" w:cs="仿宋"/>
          <w:sz w:val="24"/>
          <w:highlight w:val="none"/>
        </w:rPr>
        <w:t>投标人为自然人的</w:t>
      </w:r>
      <w:r>
        <w:rPr>
          <w:rFonts w:hint="eastAsia" w:ascii="仿宋" w:hAnsi="仿宋" w:eastAsia="仿宋" w:cs="仿宋"/>
          <w:sz w:val="24"/>
          <w:highlight w:val="none"/>
          <w:lang w:val="en-US" w:eastAsia="zh-CN"/>
        </w:rPr>
        <w:t>也可</w:t>
      </w:r>
      <w:r>
        <w:rPr>
          <w:rFonts w:hint="eastAsia" w:ascii="仿宋" w:hAnsi="仿宋" w:eastAsia="仿宋" w:cs="仿宋"/>
          <w:sz w:val="24"/>
          <w:highlight w:val="none"/>
        </w:rPr>
        <w:t>提供承诺函</w:t>
      </w:r>
      <w:r>
        <w:rPr>
          <w:rFonts w:hint="eastAsia" w:ascii="仿宋" w:hAnsi="仿宋" w:eastAsia="仿宋" w:cs="仿宋"/>
          <w:color w:val="auto"/>
          <w:sz w:val="24"/>
          <w:szCs w:val="22"/>
          <w:highlight w:val="none"/>
          <w:lang w:val="en-US" w:eastAsia="zh-CN"/>
        </w:rPr>
        <w:t>，若为</w:t>
      </w:r>
      <w:r>
        <w:rPr>
          <w:rFonts w:hint="eastAsia" w:ascii="仿宋" w:hAnsi="仿宋" w:eastAsia="仿宋" w:cs="仿宋"/>
          <w:sz w:val="24"/>
          <w:highlight w:val="none"/>
        </w:rPr>
        <w:t>非营利性单位或者社会团体或者其他机关事业单位</w:t>
      </w:r>
      <w:r>
        <w:rPr>
          <w:rFonts w:hint="eastAsia" w:ascii="仿宋" w:hAnsi="仿宋" w:eastAsia="仿宋" w:cs="仿宋"/>
          <w:sz w:val="24"/>
          <w:highlight w:val="none"/>
          <w:lang w:val="en-US" w:eastAsia="zh-CN"/>
        </w:rPr>
        <w:t>提供</w:t>
      </w:r>
      <w:r>
        <w:rPr>
          <w:rFonts w:hint="eastAsia" w:ascii="仿宋" w:hAnsi="仿宋" w:eastAsia="仿宋" w:cs="仿宋"/>
          <w:sz w:val="24"/>
          <w:highlight w:val="none"/>
        </w:rPr>
        <w:t>符合财务</w:t>
      </w:r>
      <w:r>
        <w:rPr>
          <w:rFonts w:hint="eastAsia" w:ascii="仿宋" w:hAnsi="仿宋" w:eastAsia="仿宋" w:cs="仿宋"/>
          <w:sz w:val="24"/>
          <w:highlight w:val="none"/>
          <w:lang w:eastAsia="zh-CN"/>
        </w:rPr>
        <w:t>会计制度</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lang w:eastAsia="zh-CN"/>
        </w:rPr>
        <w:t>的证明材料或者提供承诺函</w:t>
      </w:r>
      <w:r>
        <w:rPr>
          <w:rFonts w:hint="eastAsia" w:ascii="仿宋" w:hAnsi="仿宋" w:eastAsia="仿宋" w:cs="仿宋"/>
          <w:color w:val="auto"/>
          <w:sz w:val="24"/>
          <w:szCs w:val="22"/>
          <w:highlight w:val="none"/>
          <w:lang w:eastAsia="zh-CN"/>
        </w:rPr>
        <w:t>）；②提供在提交投标文件截止时间前三个月内银行开具的资信证明或银行存款证明或其他财务说明；③提供财政部门认可的政府采购专业担保机构对投标人进行资信审查后出具的投标担保函。（注：上述①—③项证明材料，提供任意一项即可）</w:t>
      </w:r>
    </w:p>
    <w:p w14:paraId="1D58AA1D">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p>
    <w:p w14:paraId="5F45BC5F">
      <w:pPr>
        <w:keepNext/>
        <w:keepLines/>
        <w:shd w:val="clear"/>
        <w:spacing w:before="60" w:after="60" w:line="360" w:lineRule="auto"/>
        <w:ind w:firstLine="723" w:firstLineChars="30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格式3</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具有履行合同所必需的设备和专业技术能力</w:t>
      </w:r>
    </w:p>
    <w:p w14:paraId="00A1BBE3">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（提供书面声明或证明材料）</w:t>
      </w:r>
    </w:p>
    <w:p w14:paraId="1C3B7385">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p>
    <w:p w14:paraId="76B4FFEE">
      <w:pPr>
        <w:keepNext/>
        <w:keepLines/>
        <w:shd w:val="clear"/>
        <w:spacing w:before="60" w:after="60" w:line="360" w:lineRule="auto"/>
        <w:ind w:firstLine="723" w:firstLineChars="30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格式4</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有依法缴纳税收和社会保障资金的良好记录</w:t>
      </w:r>
    </w:p>
    <w:p w14:paraId="13509C89">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①提供税款所属时</w:t>
      </w:r>
      <w:r>
        <w:rPr>
          <w:rFonts w:hint="eastAsia" w:ascii="仿宋" w:hAnsi="仿宋" w:eastAsia="仿宋" w:cs="仿宋"/>
          <w:color w:val="000000" w:themeColor="text1"/>
          <w:sz w:val="24"/>
          <w:szCs w:val="22"/>
          <w:highlight w:val="none"/>
          <w:lang w:eastAsia="zh-CN"/>
          <w14:textFill>
            <w14:solidFill>
              <w14:schemeClr w14:val="tx1"/>
            </w14:solidFill>
          </w14:textFill>
        </w:rPr>
        <w:t>期内</w:t>
      </w:r>
      <w:r>
        <w:rPr>
          <w:rFonts w:hint="eastAsia" w:ascii="仿宋" w:hAnsi="仿宋" w:eastAsia="仿宋" w:cs="仿宋"/>
          <w:color w:val="000000" w:themeColor="text1"/>
          <w:sz w:val="24"/>
          <w:szCs w:val="22"/>
          <w:highlight w:val="none"/>
          <w14:textFill>
            <w14:solidFill>
              <w14:schemeClr w14:val="tx1"/>
            </w14:solidFill>
          </w14:textFill>
        </w:rPr>
        <w:t>在2024年1月至响应文件提交截止时间任意月份的税务局税收通用缴款书复印件或银行电子缴税（费）凭证或相关证明或相关情况说明（注：成立未满1个月或刚满1个月的</w:t>
      </w:r>
      <w:r>
        <w:rPr>
          <w:rFonts w:hint="eastAsia" w:ascii="仿宋" w:hAnsi="仿宋" w:eastAsia="仿宋" w:cs="仿宋"/>
          <w:color w:val="000000" w:themeColor="text1"/>
          <w:sz w:val="24"/>
          <w:szCs w:val="22"/>
          <w:highlight w:val="none"/>
          <w:lang w:eastAsia="zh-CN"/>
          <w14:textFill>
            <w14:solidFill>
              <w14:schemeClr w14:val="tx1"/>
            </w14:solidFill>
          </w14:textFill>
        </w:rPr>
        <w:t>投标人</w:t>
      </w:r>
      <w:r>
        <w:rPr>
          <w:rFonts w:hint="eastAsia" w:ascii="仿宋" w:hAnsi="仿宋" w:eastAsia="仿宋" w:cs="仿宋"/>
          <w:color w:val="000000" w:themeColor="text1"/>
          <w:sz w:val="24"/>
          <w:szCs w:val="22"/>
          <w:highlight w:val="none"/>
          <w14:textFill>
            <w14:solidFill>
              <w14:schemeClr w14:val="tx1"/>
            </w14:solidFill>
          </w14:textFill>
        </w:rPr>
        <w:t>提供自成立以来的相关纳税证明或情况说明；依法免税的，应提供依法免税的相关证明文件）；</w:t>
      </w:r>
    </w:p>
    <w:p w14:paraId="1769DFCE">
      <w:pPr>
        <w:shd w:val="clear" w:fill="FFFFFF" w:themeFill="background1"/>
        <w:spacing w:line="360" w:lineRule="auto"/>
        <w:ind w:firstLine="480" w:firstLineChars="200"/>
        <w:contextualSpacing/>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②提供费款所属时</w:t>
      </w:r>
      <w:r>
        <w:rPr>
          <w:rFonts w:hint="eastAsia" w:ascii="仿宋" w:hAnsi="仿宋" w:eastAsia="仿宋" w:cs="仿宋"/>
          <w:color w:val="000000" w:themeColor="text1"/>
          <w:sz w:val="24"/>
          <w:szCs w:val="22"/>
          <w:highlight w:val="none"/>
          <w:lang w:eastAsia="zh-CN"/>
          <w14:textFill>
            <w14:solidFill>
              <w14:schemeClr w14:val="tx1"/>
            </w14:solidFill>
          </w14:textFill>
        </w:rPr>
        <w:t>期内</w:t>
      </w:r>
      <w:r>
        <w:rPr>
          <w:rFonts w:hint="eastAsia" w:ascii="仿宋" w:hAnsi="仿宋" w:eastAsia="仿宋" w:cs="仿宋"/>
          <w:color w:val="000000" w:themeColor="text1"/>
          <w:sz w:val="24"/>
          <w:szCs w:val="22"/>
          <w:highlight w:val="none"/>
          <w14:textFill>
            <w14:solidFill>
              <w14:schemeClr w14:val="tx1"/>
            </w14:solidFill>
          </w14:textFill>
        </w:rPr>
        <w:t>在2024年1月至响应文件提交截止时间任意月份的社会保险费缴款书复印件或银行电子缴税（费）凭证或社保管理部门出具的有效的缴款证明（成立未满1个月或刚满1个月地提供成立以来社会保障资金缴纳凭证</w:t>
      </w:r>
      <w:r>
        <w:rPr>
          <w:rFonts w:hint="eastAsia" w:ascii="仿宋" w:hAnsi="仿宋" w:eastAsia="仿宋" w:cs="仿宋"/>
          <w:color w:val="000000" w:themeColor="text1"/>
          <w:sz w:val="24"/>
          <w:szCs w:val="22"/>
          <w:highlight w:val="none"/>
          <w:lang w:eastAsia="zh-CN"/>
          <w14:textFill>
            <w14:solidFill>
              <w14:schemeClr w14:val="tx1"/>
            </w14:solidFill>
          </w14:textFill>
        </w:rPr>
        <w:t>或</w:t>
      </w:r>
      <w:r>
        <w:rPr>
          <w:rFonts w:hint="eastAsia" w:ascii="仿宋" w:hAnsi="仿宋" w:eastAsia="仿宋" w:cs="仿宋"/>
          <w:color w:val="000000" w:themeColor="text1"/>
          <w:sz w:val="24"/>
          <w:szCs w:val="22"/>
          <w:highlight w:val="none"/>
          <w14:textFill>
            <w14:solidFill>
              <w14:schemeClr w14:val="tx1"/>
            </w14:solidFill>
          </w14:textFill>
        </w:rPr>
        <w:t>相关证明或相关情况说明；依法不需要缴纳社会保障资金的</w:t>
      </w:r>
      <w:r>
        <w:rPr>
          <w:rFonts w:hint="eastAsia" w:ascii="仿宋" w:hAnsi="仿宋" w:eastAsia="仿宋" w:cs="仿宋"/>
          <w:color w:val="000000" w:themeColor="text1"/>
          <w:sz w:val="24"/>
          <w:szCs w:val="22"/>
          <w:highlight w:val="none"/>
          <w:lang w:eastAsia="zh-CN"/>
          <w14:textFill>
            <w14:solidFill>
              <w14:schemeClr w14:val="tx1"/>
            </w14:solidFill>
          </w14:textFill>
        </w:rPr>
        <w:t>投标人</w:t>
      </w:r>
      <w:r>
        <w:rPr>
          <w:rFonts w:hint="eastAsia" w:ascii="仿宋" w:hAnsi="仿宋" w:eastAsia="仿宋" w:cs="仿宋"/>
          <w:color w:val="000000" w:themeColor="text1"/>
          <w:sz w:val="24"/>
          <w:szCs w:val="22"/>
          <w:highlight w:val="none"/>
          <w14:textFill>
            <w14:solidFill>
              <w14:schemeClr w14:val="tx1"/>
            </w14:solidFill>
          </w14:textFill>
        </w:rPr>
        <w:t>，应提供相应文件证明其不需要缴纳社会保障资金）。</w:t>
      </w:r>
    </w:p>
    <w:p w14:paraId="221C2244">
      <w:pPr>
        <w:bidi w:val="0"/>
        <w:rPr>
          <w:rFonts w:hint="eastAsia" w:ascii="仿宋" w:hAnsi="仿宋" w:eastAsia="仿宋" w:cs="仿宋"/>
          <w:color w:val="auto"/>
          <w:highlight w:val="none"/>
        </w:rPr>
      </w:pPr>
    </w:p>
    <w:p w14:paraId="1544D6AA">
      <w:pPr>
        <w:keepNext/>
        <w:keepLines/>
        <w:shd w:val="clear"/>
        <w:spacing w:before="60" w:after="60" w:line="360" w:lineRule="auto"/>
        <w:ind w:firstLine="723" w:firstLineChars="30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格式5</w:t>
      </w:r>
      <w:r>
        <w:rPr>
          <w:rFonts w:hint="eastAsia" w:ascii="仿宋" w:hAnsi="仿宋" w:eastAsia="仿宋" w:cs="仿宋"/>
          <w:b/>
          <w:color w:val="auto"/>
          <w:kern w:val="0"/>
          <w:sz w:val="24"/>
          <w:szCs w:val="24"/>
          <w:highlight w:val="none"/>
          <w:lang w:eastAsia="zh-CN"/>
        </w:rPr>
        <w:t>、参加政府采购活动前三年内，在经营活动中没有重大违法记录</w:t>
      </w:r>
      <w:r>
        <w:rPr>
          <w:rFonts w:hint="eastAsia" w:ascii="仿宋" w:hAnsi="仿宋" w:eastAsia="仿宋" w:cs="仿宋"/>
          <w:b/>
          <w:color w:val="auto"/>
          <w:kern w:val="0"/>
          <w:sz w:val="24"/>
          <w:szCs w:val="24"/>
          <w:highlight w:val="none"/>
        </w:rPr>
        <w:t>；</w:t>
      </w:r>
    </w:p>
    <w:p w14:paraId="0DBD2827">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提供书面声明</w:t>
      </w:r>
      <w:r>
        <w:rPr>
          <w:rFonts w:hint="eastAsia" w:ascii="仿宋" w:hAnsi="仿宋" w:eastAsia="仿宋" w:cs="仿宋"/>
          <w:color w:val="auto"/>
          <w:sz w:val="24"/>
          <w:szCs w:val="22"/>
          <w:highlight w:val="none"/>
        </w:rPr>
        <w:t>）</w:t>
      </w:r>
    </w:p>
    <w:p w14:paraId="0E87BA31">
      <w:pPr>
        <w:bidi w:val="0"/>
        <w:spacing w:line="360" w:lineRule="auto"/>
        <w:rPr>
          <w:rFonts w:hint="eastAsia" w:ascii="仿宋" w:hAnsi="仿宋" w:eastAsia="仿宋" w:cs="仿宋"/>
          <w:color w:val="auto"/>
          <w:highlight w:val="none"/>
        </w:rPr>
      </w:pPr>
    </w:p>
    <w:p w14:paraId="0E45FDD3">
      <w:pPr>
        <w:keepNext/>
        <w:keepLines/>
        <w:shd w:val="clear"/>
        <w:spacing w:before="60" w:after="60" w:line="360" w:lineRule="auto"/>
        <w:ind w:firstLine="723" w:firstLineChars="300"/>
        <w:outlineLvl w:val="2"/>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6、法律、行政法规规定的其他条件</w:t>
      </w:r>
    </w:p>
    <w:p w14:paraId="79DD9B12">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①</w:t>
      </w:r>
      <w:r>
        <w:rPr>
          <w:rFonts w:hint="eastAsia" w:ascii="仿宋" w:hAnsi="仿宋" w:eastAsia="仿宋" w:cs="仿宋"/>
          <w:color w:val="auto"/>
          <w:sz w:val="24"/>
          <w:szCs w:val="22"/>
          <w:highlight w:val="none"/>
          <w:lang w:val="en-US" w:eastAsia="zh-CN"/>
        </w:rPr>
        <w:t>投标人</w:t>
      </w:r>
      <w:r>
        <w:rPr>
          <w:rFonts w:hint="eastAsia" w:ascii="仿宋" w:hAnsi="仿宋" w:eastAsia="仿宋" w:cs="仿宋"/>
          <w:color w:val="auto"/>
          <w:sz w:val="24"/>
          <w:szCs w:val="22"/>
          <w:highlight w:val="none"/>
        </w:rPr>
        <w:t>单位负责人为同一人或者存在直接控股、管理关系的不同</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，不得参加同一合同项下的政府采购活动</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提供声明</w:t>
      </w:r>
      <w:r>
        <w:rPr>
          <w:rFonts w:hint="eastAsia" w:ascii="仿宋" w:hAnsi="仿宋" w:eastAsia="仿宋" w:cs="仿宋"/>
          <w:color w:val="auto"/>
          <w:sz w:val="24"/>
          <w:szCs w:val="22"/>
          <w:highlight w:val="none"/>
          <w:lang w:eastAsia="zh-CN"/>
        </w:rPr>
        <w:t>）</w:t>
      </w:r>
    </w:p>
    <w:p w14:paraId="42592F06">
      <w:pPr>
        <w:bidi w:val="0"/>
        <w:rPr>
          <w:rFonts w:hint="eastAsia" w:ascii="仿宋" w:hAnsi="仿宋" w:eastAsia="仿宋" w:cs="仿宋"/>
          <w:color w:val="auto"/>
          <w:highlight w:val="none"/>
        </w:rPr>
      </w:pPr>
    </w:p>
    <w:p w14:paraId="4D13D53C">
      <w:pPr>
        <w:pStyle w:val="7"/>
        <w:rPr>
          <w:rFonts w:hint="eastAsia" w:ascii="仿宋" w:hAnsi="仿宋" w:eastAsia="仿宋" w:cs="仿宋"/>
          <w:highlight w:val="none"/>
        </w:rPr>
      </w:pPr>
    </w:p>
    <w:p w14:paraId="43976FEB">
      <w:pPr>
        <w:keepNext/>
        <w:keepLines/>
        <w:shd w:val="clear"/>
        <w:spacing w:before="60" w:after="60" w:line="360" w:lineRule="auto"/>
        <w:ind w:firstLine="723" w:firstLineChars="300"/>
        <w:outlineLvl w:val="2"/>
        <w:rPr>
          <w:rFonts w:hint="eastAsia" w:ascii="仿宋" w:hAnsi="仿宋" w:eastAsia="仿宋" w:cs="仿宋"/>
          <w:sz w:val="24"/>
          <w:highlight w:val="none"/>
          <w:lang w:val="en-US" w:eastAsia="zh-CN"/>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7、本项目的特定资格要求</w:t>
      </w:r>
    </w:p>
    <w:bookmarkEnd w:id="585"/>
    <w:bookmarkEnd w:id="586"/>
    <w:p w14:paraId="68ED9B00">
      <w:pPr>
        <w:shd w:val="clear" w:fill="FFFFFF" w:themeFill="background1"/>
        <w:spacing w:line="360" w:lineRule="auto"/>
        <w:ind w:firstLine="480" w:firstLineChars="200"/>
        <w:contextualSpacing/>
        <w:rPr>
          <w:rFonts w:hint="eastAsia" w:ascii="仿宋" w:hAnsi="仿宋" w:eastAsia="仿宋" w:cs="仿宋"/>
          <w:color w:val="auto"/>
          <w:sz w:val="24"/>
          <w:szCs w:val="22"/>
          <w:highlight w:val="none"/>
          <w:lang w:val="en-US" w:eastAsia="zh-CN"/>
        </w:rPr>
      </w:pPr>
      <w:bookmarkStart w:id="602" w:name="_Toc391301893"/>
      <w:bookmarkStart w:id="603" w:name="_Toc406162639"/>
      <w:bookmarkStart w:id="604" w:name="_Toc12836"/>
      <w:bookmarkStart w:id="605" w:name="_Toc383636434"/>
      <w:bookmarkStart w:id="606" w:name="_Toc527634744"/>
      <w:bookmarkStart w:id="607" w:name="_Toc469987160"/>
      <w:bookmarkStart w:id="608" w:name="_Toc469987746"/>
      <w:r>
        <w:rPr>
          <w:rFonts w:hint="eastAsia" w:ascii="仿宋" w:hAnsi="仿宋" w:eastAsia="仿宋" w:cs="仿宋"/>
          <w:color w:val="auto"/>
          <w:sz w:val="24"/>
          <w:szCs w:val="22"/>
          <w:highlight w:val="none"/>
        </w:rPr>
        <w:t>①投标人若为代理商或经销商：须提供投标人有效的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经营许可证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经营范围覆盖投标产品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及所投货物制造商有效的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生产许可证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生产范围覆盖投标产品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；②投标人若为制造商：须提供投标人有效的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经营许可证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经营范围覆盖投标产品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及所投货物制造商有效的</w:t>
      </w:r>
      <w:r>
        <w:rPr>
          <w:rFonts w:hint="eastAsia" w:ascii="仿宋" w:hAnsi="仿宋" w:eastAsia="仿宋" w:cs="仿宋"/>
          <w:color w:val="auto"/>
          <w:sz w:val="24"/>
          <w:szCs w:val="22"/>
          <w:highlight w:val="none"/>
          <w:lang w:eastAsia="zh-CN"/>
        </w:rPr>
        <w:t>中药饮片</w:t>
      </w:r>
      <w:r>
        <w:rPr>
          <w:rFonts w:hint="eastAsia" w:ascii="仿宋" w:hAnsi="仿宋" w:eastAsia="仿宋" w:cs="仿宋"/>
          <w:color w:val="auto"/>
          <w:sz w:val="24"/>
          <w:szCs w:val="22"/>
          <w:highlight w:val="none"/>
        </w:rPr>
        <w:t>生产许可证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生产范围覆盖投标产品</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p>
    <w:p w14:paraId="5B28CE31">
      <w:pP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br w:type="page"/>
      </w:r>
    </w:p>
    <w:p w14:paraId="2E7D40D6">
      <w:pPr>
        <w:pStyle w:val="3"/>
        <w:shd w:val="clear"/>
        <w:ind w:firstLine="0" w:firstLineChars="0"/>
        <w:jc w:val="center"/>
        <w:outlineLvl w:val="1"/>
        <w:rPr>
          <w:rFonts w:hint="eastAsia" w:ascii="仿宋" w:hAnsi="仿宋" w:eastAsia="仿宋" w:cs="仿宋"/>
          <w:color w:val="auto"/>
          <w:sz w:val="30"/>
          <w:szCs w:val="30"/>
          <w:highlight w:val="none"/>
        </w:rPr>
      </w:pPr>
      <w:bookmarkStart w:id="609" w:name="_Toc13461"/>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rPr>
        <w:t>、技术标部分</w:t>
      </w:r>
      <w:bookmarkEnd w:id="602"/>
      <w:bookmarkEnd w:id="603"/>
      <w:bookmarkEnd w:id="604"/>
      <w:bookmarkEnd w:id="605"/>
      <w:bookmarkEnd w:id="606"/>
      <w:bookmarkEnd w:id="609"/>
    </w:p>
    <w:p w14:paraId="59273CB4">
      <w:pPr>
        <w:shd w:val="clear"/>
        <w:rPr>
          <w:rFonts w:hint="eastAsia" w:ascii="仿宋" w:hAnsi="仿宋" w:eastAsia="仿宋" w:cs="仿宋"/>
          <w:color w:val="auto"/>
          <w:highlight w:val="none"/>
        </w:rPr>
      </w:pPr>
    </w:p>
    <w:bookmarkEnd w:id="607"/>
    <w:bookmarkEnd w:id="608"/>
    <w:p w14:paraId="278AB492">
      <w:pPr>
        <w:keepNext/>
        <w:keepLines/>
        <w:shd w:val="clear" w:fill="FFFFFF" w:themeFill="background1"/>
        <w:spacing w:before="60" w:after="60" w:line="360" w:lineRule="auto"/>
        <w:ind w:firstLine="723" w:firstLineChars="300"/>
        <w:outlineLvl w:val="2"/>
        <w:rPr>
          <w:rFonts w:hint="eastAsia" w:ascii="仿宋" w:hAnsi="仿宋" w:eastAsia="仿宋" w:cs="仿宋"/>
          <w:b/>
          <w:color w:val="auto"/>
          <w:kern w:val="0"/>
          <w:sz w:val="24"/>
          <w:szCs w:val="24"/>
          <w:highlight w:val="none"/>
        </w:rPr>
      </w:pPr>
      <w:bookmarkStart w:id="610" w:name="_Toc469987747"/>
      <w:bookmarkStart w:id="611" w:name="_Toc2413"/>
      <w:bookmarkStart w:id="612" w:name="_Toc469987161"/>
      <w:bookmarkStart w:id="613" w:name="_Toc383636429"/>
      <w:bookmarkStart w:id="614" w:name="_Toc406162634"/>
      <w:bookmarkStart w:id="615" w:name="_Toc391301888"/>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rPr>
        <w:t>、药材来源保障</w:t>
      </w:r>
      <w:r>
        <w:rPr>
          <w:rFonts w:hint="eastAsia" w:ascii="仿宋" w:hAnsi="仿宋" w:eastAsia="仿宋" w:cs="仿宋"/>
          <w:b/>
          <w:color w:val="auto"/>
          <w:kern w:val="0"/>
          <w:sz w:val="24"/>
          <w:szCs w:val="24"/>
          <w:highlight w:val="none"/>
          <w:lang w:val="en-US" w:eastAsia="zh-CN"/>
        </w:rPr>
        <w:t>方案</w:t>
      </w:r>
    </w:p>
    <w:bookmarkEnd w:id="610"/>
    <w:bookmarkEnd w:id="611"/>
    <w:bookmarkEnd w:id="612"/>
    <w:p w14:paraId="4D7A0EBD">
      <w:pPr>
        <w:pStyle w:val="10"/>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highlight w:val="none"/>
        </w:rPr>
        <w:t>格式自拟</w:t>
      </w:r>
    </w:p>
    <w:p w14:paraId="6124682B">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B140255">
      <w:pPr>
        <w:shd w:val="clear" w:fill="FFFFFF" w:themeFill="background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9FE842A">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4AE73B5">
      <w:pPr>
        <w:bidi w:val="0"/>
        <w:rPr>
          <w:rFonts w:hint="eastAsia" w:ascii="仿宋" w:hAnsi="仿宋" w:eastAsia="仿宋" w:cs="仿宋"/>
          <w:color w:val="auto"/>
          <w:highlight w:val="none"/>
        </w:rPr>
      </w:pPr>
    </w:p>
    <w:p w14:paraId="7268CD45">
      <w:pPr>
        <w:keepNext/>
        <w:keepLines/>
        <w:pageBreakBefore w:val="0"/>
        <w:widowControl w:val="0"/>
        <w:shd w:val="clear" w:fill="FFFFFF" w:themeFill="background1"/>
        <w:kinsoku/>
        <w:wordWrap/>
        <w:overflowPunct/>
        <w:topLinePunct w:val="0"/>
        <w:autoSpaceDE/>
        <w:autoSpaceDN/>
        <w:bidi w:val="0"/>
        <w:adjustRightInd/>
        <w:snapToGrid/>
        <w:spacing w:before="625" w:beforeLines="200" w:after="60" w:line="360" w:lineRule="auto"/>
        <w:ind w:firstLine="723" w:firstLineChars="300"/>
        <w:textAlignment w:val="auto"/>
        <w:outlineLvl w:val="2"/>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项</w:t>
      </w:r>
      <w:r>
        <w:rPr>
          <w:rFonts w:hint="eastAsia" w:ascii="仿宋" w:hAnsi="仿宋" w:eastAsia="仿宋" w:cs="仿宋"/>
          <w:b/>
          <w:color w:val="auto"/>
          <w:kern w:val="0"/>
          <w:sz w:val="24"/>
          <w:szCs w:val="24"/>
          <w:highlight w:val="none"/>
        </w:rPr>
        <w:t>目实施方案</w:t>
      </w:r>
    </w:p>
    <w:p w14:paraId="12E54527">
      <w:pPr>
        <w:pStyle w:val="10"/>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highlight w:val="none"/>
        </w:rPr>
        <w:t>格式自拟</w:t>
      </w:r>
    </w:p>
    <w:p w14:paraId="6F99AED8">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5C33F62">
      <w:pPr>
        <w:shd w:val="clear" w:fill="FFFFFF" w:themeFill="background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A968E5A">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7D541B6">
      <w:pPr>
        <w:pStyle w:val="14"/>
        <w:shd w:val="clear" w:fill="FFFFFF" w:themeFill="background1"/>
        <w:rPr>
          <w:rFonts w:hint="eastAsia" w:ascii="仿宋" w:hAnsi="仿宋" w:eastAsia="仿宋" w:cs="仿宋"/>
          <w:color w:val="auto"/>
          <w:szCs w:val="22"/>
          <w:highlight w:val="none"/>
        </w:rPr>
      </w:pPr>
    </w:p>
    <w:p w14:paraId="3CC37ABD">
      <w:pPr>
        <w:shd w:val="clear" w:fill="FFFFFF" w:themeFill="background1"/>
        <w:rPr>
          <w:rFonts w:hint="eastAsia" w:ascii="仿宋" w:hAnsi="仿宋" w:eastAsia="仿宋" w:cs="仿宋"/>
          <w:color w:val="auto"/>
          <w:szCs w:val="22"/>
          <w:highlight w:val="none"/>
        </w:rPr>
      </w:pPr>
    </w:p>
    <w:p w14:paraId="0D403A64">
      <w:pPr>
        <w:shd w:val="clear" w:fill="FFFFFF" w:themeFill="background1"/>
        <w:spacing w:line="360" w:lineRule="auto"/>
        <w:rPr>
          <w:rFonts w:hint="eastAsia" w:ascii="仿宋" w:hAnsi="仿宋" w:eastAsia="仿宋" w:cs="仿宋"/>
          <w:color w:val="auto"/>
          <w:szCs w:val="21"/>
          <w:highlight w:val="none"/>
        </w:rPr>
      </w:pPr>
    </w:p>
    <w:p w14:paraId="65FA0BFF">
      <w:pPr>
        <w:pStyle w:val="15"/>
        <w:rPr>
          <w:rFonts w:hint="eastAsia" w:ascii="仿宋" w:hAnsi="仿宋" w:eastAsia="仿宋" w:cs="仿宋"/>
          <w:color w:val="auto"/>
          <w:highlight w:val="none"/>
        </w:rPr>
      </w:pPr>
    </w:p>
    <w:p w14:paraId="21150002">
      <w:pPr>
        <w:pStyle w:val="15"/>
        <w:shd w:val="clear" w:fill="FFFFFF" w:themeFill="background1"/>
        <w:rPr>
          <w:rFonts w:hint="eastAsia" w:ascii="仿宋" w:hAnsi="仿宋" w:eastAsia="仿宋" w:cs="仿宋"/>
          <w:color w:val="auto"/>
          <w:highlight w:val="none"/>
        </w:rPr>
      </w:pPr>
    </w:p>
    <w:p w14:paraId="19E533CB">
      <w:pPr>
        <w:keepNext/>
        <w:keepLines/>
        <w:shd w:val="clear" w:fill="FFFFFF" w:themeFill="background1"/>
        <w:spacing w:before="60" w:after="60" w:line="360" w:lineRule="auto"/>
        <w:ind w:firstLine="964" w:firstLineChars="400"/>
        <w:outlineLvl w:val="2"/>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质量控制方案</w:t>
      </w:r>
    </w:p>
    <w:p w14:paraId="4A5777F8">
      <w:pPr>
        <w:pStyle w:val="10"/>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highlight w:val="none"/>
        </w:rPr>
        <w:t>格式自拟</w:t>
      </w:r>
    </w:p>
    <w:p w14:paraId="2E481216">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C11BC49">
      <w:pPr>
        <w:shd w:val="clear" w:fill="FFFFFF" w:themeFill="background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4FEE3F5">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714B2DC">
      <w:pPr>
        <w:keepNext/>
        <w:keepLines/>
        <w:shd w:val="clear" w:fill="FFFFFF" w:themeFill="background1"/>
        <w:spacing w:before="60" w:after="60" w:line="360" w:lineRule="auto"/>
        <w:ind w:firstLine="964" w:firstLineChars="400"/>
        <w:outlineLvl w:val="2"/>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格式4、质量承诺及违约责任承诺</w:t>
      </w:r>
    </w:p>
    <w:p w14:paraId="25392AB8">
      <w:pPr>
        <w:pStyle w:val="10"/>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highlight w:val="none"/>
        </w:rPr>
        <w:t>格式自拟</w:t>
      </w:r>
    </w:p>
    <w:p w14:paraId="32ED4DFF">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78C42FC">
      <w:pPr>
        <w:shd w:val="clear" w:fill="FFFFFF" w:themeFill="background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2A98739">
      <w:pPr>
        <w:shd w:val="clear" w:fill="FFFFFF" w:themeFill="background1"/>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1CCD60">
      <w:pPr>
        <w:pStyle w:val="28"/>
        <w:rPr>
          <w:rFonts w:hint="eastAsia" w:ascii="仿宋" w:hAnsi="仿宋" w:eastAsia="仿宋" w:cs="仿宋"/>
        </w:rPr>
      </w:pPr>
    </w:p>
    <w:p w14:paraId="695FCCAB">
      <w:pPr>
        <w:keepNext/>
        <w:keepLines/>
        <w:shd w:val="clear" w:fill="FFFFFF" w:themeFill="background1"/>
        <w:spacing w:before="60" w:after="60" w:line="360" w:lineRule="auto"/>
        <w:ind w:firstLine="964" w:firstLineChars="40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格式5、</w:t>
      </w:r>
      <w:r>
        <w:rPr>
          <w:rFonts w:hint="eastAsia" w:ascii="仿宋" w:hAnsi="仿宋" w:eastAsia="仿宋" w:cs="仿宋"/>
          <w:b/>
          <w:color w:val="auto"/>
          <w:kern w:val="0"/>
          <w:sz w:val="24"/>
          <w:szCs w:val="24"/>
          <w:highlight w:val="none"/>
        </w:rPr>
        <w:t>投标人认为还需要提供的其他资料</w:t>
      </w:r>
    </w:p>
    <w:p w14:paraId="04B5CB15">
      <w:pPr>
        <w:shd w:val="clear" w:fill="FFFFFF" w:themeFill="background1"/>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694A4469">
      <w:pPr>
        <w:keepNext/>
        <w:keepLines/>
        <w:shd w:val="clear"/>
        <w:spacing w:before="312" w:after="312"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br w:type="page"/>
      </w:r>
      <w:bookmarkStart w:id="616" w:name="_Toc27319"/>
      <w:r>
        <w:rPr>
          <w:rFonts w:hint="eastAsia" w:ascii="仿宋" w:hAnsi="仿宋" w:eastAsia="仿宋" w:cs="仿宋"/>
          <w:b/>
          <w:color w:val="auto"/>
          <w:sz w:val="30"/>
          <w:szCs w:val="30"/>
          <w:highlight w:val="none"/>
          <w:lang w:eastAsia="zh-CN"/>
        </w:rPr>
        <w:t>五</w:t>
      </w:r>
      <w:r>
        <w:rPr>
          <w:rFonts w:hint="eastAsia" w:ascii="仿宋" w:hAnsi="仿宋" w:eastAsia="仿宋" w:cs="仿宋"/>
          <w:b/>
          <w:color w:val="auto"/>
          <w:sz w:val="30"/>
          <w:szCs w:val="30"/>
          <w:highlight w:val="none"/>
        </w:rPr>
        <w:t>、商务标部分</w:t>
      </w:r>
      <w:bookmarkEnd w:id="616"/>
    </w:p>
    <w:p w14:paraId="222EB2D1">
      <w:pPr>
        <w:keepNext/>
        <w:keepLines/>
        <w:shd w:val="clear"/>
        <w:spacing w:before="60" w:after="60" w:line="360" w:lineRule="auto"/>
        <w:outlineLvl w:val="2"/>
        <w:rPr>
          <w:rFonts w:hint="eastAsia" w:ascii="仿宋" w:hAnsi="仿宋" w:eastAsia="仿宋" w:cs="仿宋"/>
          <w:b/>
          <w:color w:val="auto"/>
          <w:sz w:val="24"/>
          <w:szCs w:val="24"/>
          <w:highlight w:val="none"/>
        </w:rPr>
      </w:pPr>
      <w:bookmarkStart w:id="617" w:name="_Toc391301881"/>
      <w:bookmarkStart w:id="618" w:name="_Toc527634733"/>
      <w:bookmarkStart w:id="619" w:name="_Toc383636422"/>
      <w:bookmarkStart w:id="620" w:name="_Toc406162627"/>
      <w:bookmarkStart w:id="621" w:name="_Toc14410"/>
      <w:bookmarkStart w:id="622" w:name="_Toc388360814"/>
      <w:r>
        <w:rPr>
          <w:rFonts w:hint="eastAsia" w:ascii="仿宋" w:hAnsi="仿宋" w:eastAsia="仿宋" w:cs="仿宋"/>
          <w:b/>
          <w:color w:val="auto"/>
          <w:sz w:val="24"/>
          <w:szCs w:val="24"/>
          <w:highlight w:val="none"/>
        </w:rPr>
        <w:t>格式1、投标</w:t>
      </w:r>
      <w:bookmarkEnd w:id="617"/>
      <w:bookmarkEnd w:id="618"/>
      <w:bookmarkEnd w:id="619"/>
      <w:bookmarkEnd w:id="620"/>
      <w:r>
        <w:rPr>
          <w:rFonts w:hint="eastAsia" w:ascii="仿宋" w:hAnsi="仿宋" w:eastAsia="仿宋" w:cs="仿宋"/>
          <w:b/>
          <w:color w:val="auto"/>
          <w:sz w:val="24"/>
          <w:szCs w:val="24"/>
          <w:highlight w:val="none"/>
        </w:rPr>
        <w:t>书</w:t>
      </w:r>
      <w:bookmarkEnd w:id="621"/>
    </w:p>
    <w:p w14:paraId="6D4A0445">
      <w:pPr>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4"/>
          <w:highlight w:val="none"/>
          <w:u w:val="single"/>
          <w:lang w:val="en-US" w:eastAsia="zh-CN"/>
        </w:rPr>
        <w:t>采购代理机构</w:t>
      </w:r>
    </w:p>
    <w:p w14:paraId="6E10DEA1">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根据贵方代理的</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rPr>
        <w:t>招标文件。我单位（公司）决定参加该项目的投标，我单位（或公司）同意以下事项：</w:t>
      </w:r>
    </w:p>
    <w:p w14:paraId="4B0FBB92">
      <w:pPr>
        <w:shd w:val="clear"/>
        <w:spacing w:line="360" w:lineRule="auto"/>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1、我方承诺已经具备《中华人民共和国政府采购法》中规定的参加政府采购活动的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应当具备的条件。</w:t>
      </w:r>
    </w:p>
    <w:p w14:paraId="1726DD8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2、遵守招标文件的各项条款及一切有关规定，并在投标人须知前附表第1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.1条规定的投标有效期满之前均具有约束力。如果我方投标被接受，则至合同履行完毕、</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满为止，本投标书保持有效。</w:t>
      </w:r>
    </w:p>
    <w:p w14:paraId="0D8F1A2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3.我方承诺严格遵守招标文件中的各项要求及合同条款，并承担合同规定的责任义务。</w:t>
      </w:r>
    </w:p>
    <w:p w14:paraId="601AE06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、同意应贵方要求提供与</w:t>
      </w:r>
      <w:r>
        <w:rPr>
          <w:rFonts w:hint="eastAsia" w:ascii="仿宋" w:hAnsi="仿宋" w:eastAsia="仿宋" w:cs="仿宋"/>
          <w:color w:val="auto"/>
          <w:sz w:val="24"/>
          <w:szCs w:val="24"/>
          <w:highlight w:val="none"/>
          <w:lang w:eastAsia="zh-CN"/>
        </w:rPr>
        <w:t>本次</w:t>
      </w:r>
      <w:r>
        <w:rPr>
          <w:rFonts w:hint="eastAsia" w:ascii="仿宋" w:hAnsi="仿宋" w:eastAsia="仿宋" w:cs="仿宋"/>
          <w:color w:val="auto"/>
          <w:sz w:val="24"/>
          <w:szCs w:val="24"/>
          <w:highlight w:val="none"/>
        </w:rPr>
        <w:t>投标有关的任何数据和资料，并保证数据和资料的完整性和真实性，若有违反，我方愿意承担一切后果。</w:t>
      </w:r>
    </w:p>
    <w:p w14:paraId="0E9975F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、我方已详细</w:t>
      </w:r>
      <w:r>
        <w:rPr>
          <w:rFonts w:hint="eastAsia" w:ascii="仿宋" w:hAnsi="仿宋" w:eastAsia="仿宋" w:cs="仿宋"/>
          <w:color w:val="auto"/>
          <w:sz w:val="24"/>
          <w:szCs w:val="24"/>
          <w:highlight w:val="none"/>
          <w:lang w:val="en-US" w:eastAsia="zh-CN"/>
        </w:rPr>
        <w:t>审阅</w:t>
      </w:r>
      <w:r>
        <w:rPr>
          <w:rFonts w:hint="eastAsia" w:ascii="仿宋" w:hAnsi="仿宋" w:eastAsia="仿宋" w:cs="仿宋"/>
          <w:color w:val="auto"/>
          <w:sz w:val="24"/>
          <w:szCs w:val="24"/>
          <w:highlight w:val="none"/>
        </w:rPr>
        <w:t>招标文件，我方对招标文件各项条款和评标办法无异议，</w:t>
      </w:r>
      <w:r>
        <w:rPr>
          <w:rFonts w:hint="eastAsia" w:ascii="仿宋" w:hAnsi="仿宋" w:eastAsia="仿宋" w:cs="仿宋"/>
          <w:color w:val="auto"/>
          <w:sz w:val="24"/>
          <w:szCs w:val="24"/>
          <w:highlight w:val="none"/>
          <w:lang w:eastAsia="zh-CN"/>
        </w:rPr>
        <w:t>并决定</w:t>
      </w:r>
      <w:r>
        <w:rPr>
          <w:rFonts w:hint="eastAsia" w:ascii="仿宋" w:hAnsi="仿宋" w:eastAsia="仿宋" w:cs="仿宋"/>
          <w:color w:val="auto"/>
          <w:sz w:val="24"/>
          <w:szCs w:val="24"/>
          <w:highlight w:val="none"/>
        </w:rPr>
        <w:t>放弃提出</w:t>
      </w:r>
      <w:r>
        <w:rPr>
          <w:rFonts w:hint="eastAsia" w:ascii="仿宋" w:hAnsi="仿宋" w:eastAsia="仿宋" w:cs="仿宋"/>
          <w:color w:val="auto"/>
          <w:sz w:val="24"/>
          <w:szCs w:val="24"/>
          <w:highlight w:val="none"/>
          <w:lang w:eastAsia="zh-CN"/>
        </w:rPr>
        <w:t>异议</w:t>
      </w:r>
      <w:r>
        <w:rPr>
          <w:rFonts w:hint="eastAsia" w:ascii="仿宋" w:hAnsi="仿宋" w:eastAsia="仿宋" w:cs="仿宋"/>
          <w:color w:val="auto"/>
          <w:sz w:val="24"/>
          <w:szCs w:val="24"/>
          <w:highlight w:val="none"/>
        </w:rPr>
        <w:t>的权利。</w:t>
      </w:r>
    </w:p>
    <w:p w14:paraId="5A28CD0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、如果在投标文件有效期内撤回投标或者有其他违约行为，我方的投标保证金可被贵方全部没收。</w:t>
      </w:r>
    </w:p>
    <w:p w14:paraId="6C41DFF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、若贵方需要，我方愿意提供我方</w:t>
      </w:r>
      <w:r>
        <w:rPr>
          <w:rFonts w:hint="eastAsia" w:ascii="仿宋" w:hAnsi="仿宋" w:eastAsia="仿宋" w:cs="仿宋"/>
          <w:color w:val="auto"/>
          <w:sz w:val="24"/>
          <w:szCs w:val="24"/>
          <w:highlight w:val="none"/>
          <w:lang w:eastAsia="zh-CN"/>
        </w:rPr>
        <w:t>做出</w:t>
      </w:r>
      <w:r>
        <w:rPr>
          <w:rFonts w:hint="eastAsia" w:ascii="仿宋" w:hAnsi="仿宋" w:eastAsia="仿宋" w:cs="仿宋"/>
          <w:color w:val="auto"/>
          <w:sz w:val="24"/>
          <w:szCs w:val="24"/>
          <w:highlight w:val="none"/>
        </w:rPr>
        <w:t>的一切承诺的证明材料。</w:t>
      </w:r>
    </w:p>
    <w:p w14:paraId="6EDEF7BA">
      <w:pPr>
        <w:shd w:val="clear"/>
        <w:spacing w:line="360" w:lineRule="auto"/>
        <w:ind w:firstLine="480" w:firstLineChars="200"/>
        <w:rPr>
          <w:rFonts w:hint="eastAsia" w:ascii="仿宋" w:hAnsi="仿宋" w:eastAsia="仿宋" w:cs="仿宋"/>
          <w:color w:val="auto"/>
          <w:sz w:val="24"/>
          <w:szCs w:val="24"/>
          <w:highlight w:val="none"/>
        </w:rPr>
      </w:pPr>
    </w:p>
    <w:p w14:paraId="16B0B37E">
      <w:pPr>
        <w:shd w:val="clea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20B2E56E">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p>
    <w:p w14:paraId="39A2BF3E">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p>
    <w:p w14:paraId="6A830CAD">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4547522C">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7A370040">
      <w:pPr>
        <w:rPr>
          <w:rFonts w:hint="eastAsia" w:ascii="仿宋" w:hAnsi="仿宋" w:eastAsia="仿宋" w:cs="仿宋"/>
          <w:color w:val="auto"/>
          <w:sz w:val="24"/>
          <w:szCs w:val="24"/>
          <w:highlight w:val="none"/>
        </w:rPr>
      </w:pPr>
      <w:bookmarkStart w:id="623" w:name="_Toc38173198"/>
      <w:bookmarkStart w:id="624" w:name="_Toc469987155"/>
      <w:bookmarkStart w:id="625" w:name="_Toc469987741"/>
      <w:r>
        <w:rPr>
          <w:rFonts w:hint="eastAsia" w:ascii="仿宋" w:hAnsi="仿宋" w:eastAsia="仿宋" w:cs="仿宋"/>
          <w:color w:val="auto"/>
          <w:sz w:val="24"/>
          <w:szCs w:val="24"/>
          <w:highlight w:val="none"/>
        </w:rPr>
        <w:br w:type="page"/>
      </w:r>
    </w:p>
    <w:p w14:paraId="47465F3F">
      <w:pPr>
        <w:pStyle w:val="10"/>
        <w:shd w:val="clear"/>
        <w:rPr>
          <w:rFonts w:hint="eastAsia" w:ascii="仿宋" w:hAnsi="仿宋" w:eastAsia="仿宋" w:cs="仿宋"/>
          <w:color w:val="auto"/>
          <w:highlight w:val="none"/>
        </w:rPr>
      </w:pPr>
    </w:p>
    <w:p w14:paraId="7EE24239">
      <w:pPr>
        <w:keepNext/>
        <w:keepLines/>
        <w:shd w:val="clear"/>
        <w:spacing w:before="60" w:after="60" w:line="360" w:lineRule="auto"/>
        <w:outlineLvl w:val="2"/>
        <w:rPr>
          <w:rFonts w:hint="eastAsia" w:ascii="仿宋" w:hAnsi="仿宋" w:eastAsia="仿宋" w:cs="仿宋"/>
          <w:b/>
          <w:color w:val="auto"/>
          <w:sz w:val="24"/>
          <w:szCs w:val="24"/>
          <w:highlight w:val="none"/>
        </w:rPr>
      </w:pPr>
      <w:bookmarkStart w:id="626" w:name="_Toc7239"/>
      <w:r>
        <w:rPr>
          <w:rFonts w:hint="eastAsia" w:ascii="仿宋" w:hAnsi="仿宋" w:eastAsia="仿宋" w:cs="仿宋"/>
          <w:b/>
          <w:color w:val="auto"/>
          <w:sz w:val="24"/>
          <w:szCs w:val="24"/>
          <w:highlight w:val="none"/>
        </w:rPr>
        <w:t>格式2、投标质量保证书</w:t>
      </w:r>
      <w:bookmarkEnd w:id="623"/>
      <w:bookmarkEnd w:id="624"/>
      <w:bookmarkEnd w:id="625"/>
      <w:bookmarkEnd w:id="626"/>
    </w:p>
    <w:p w14:paraId="6B338582">
      <w:pPr>
        <w:shd w:val="clear"/>
        <w:spacing w:line="400" w:lineRule="exact"/>
        <w:rPr>
          <w:rFonts w:hint="eastAsia" w:ascii="仿宋" w:hAnsi="仿宋" w:eastAsia="仿宋" w:cs="仿宋"/>
          <w:color w:val="auto"/>
          <w:sz w:val="24"/>
          <w:szCs w:val="24"/>
          <w:highlight w:val="none"/>
        </w:rPr>
      </w:pPr>
    </w:p>
    <w:p w14:paraId="61F1BFE0">
      <w:pPr>
        <w:shd w:val="clear"/>
        <w:spacing w:after="120"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4"/>
          <w:highlight w:val="none"/>
          <w:u w:val="single"/>
          <w:lang w:val="en-US" w:eastAsia="zh-CN"/>
        </w:rPr>
        <w:t>招标人/采购代理机构</w:t>
      </w:r>
    </w:p>
    <w:p w14:paraId="2D5E5C63">
      <w:pPr>
        <w:shd w:val="clear"/>
        <w:spacing w:before="60" w:after="60" w:line="50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本书作为（投标人）对</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）所投标产品的质量保证的证明。</w:t>
      </w:r>
    </w:p>
    <w:p w14:paraId="6F55A384">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我方承诺提供以下质量保证并承担相应的法律责任：</w:t>
      </w:r>
    </w:p>
    <w:p w14:paraId="078E6400">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1、提供的产品是全新的、符合国家质量标准的产品。</w:t>
      </w:r>
    </w:p>
    <w:p w14:paraId="1250BAFF">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2、提供的产品符合投标文件承诺和所签合同规定的技术要求。</w:t>
      </w:r>
    </w:p>
    <w:p w14:paraId="28ED05E4">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3、保证“投标售后服务承诺”全部内容的满足。</w:t>
      </w:r>
    </w:p>
    <w:p w14:paraId="18D5AD3D">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4、提供的产品货真价实，不以次充好。</w:t>
      </w:r>
    </w:p>
    <w:p w14:paraId="65A9592E">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5、保证诚信经营，绝不弄虚作假。</w:t>
      </w:r>
    </w:p>
    <w:p w14:paraId="631716A2">
      <w:pPr>
        <w:shd w:val="clear"/>
        <w:spacing w:before="60" w:after="60" w:line="50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本保证书自开标日起90天内有效，如我方中标则至货物保质期满为止有效。</w:t>
      </w:r>
    </w:p>
    <w:p w14:paraId="21A480DD">
      <w:pPr>
        <w:shd w:val="clear"/>
        <w:spacing w:before="60" w:after="60" w:line="500" w:lineRule="exact"/>
        <w:ind w:firstLine="510"/>
        <w:rPr>
          <w:rFonts w:hint="eastAsia" w:ascii="仿宋" w:hAnsi="仿宋" w:eastAsia="仿宋" w:cs="仿宋"/>
          <w:color w:val="auto"/>
          <w:sz w:val="24"/>
          <w:szCs w:val="24"/>
          <w:highlight w:val="none"/>
        </w:rPr>
      </w:pPr>
    </w:p>
    <w:p w14:paraId="5DB7DA3A">
      <w:pPr>
        <w:shd w:val="clear"/>
        <w:spacing w:before="60" w:after="60" w:line="500" w:lineRule="exact"/>
        <w:ind w:firstLine="510"/>
        <w:rPr>
          <w:rFonts w:hint="eastAsia" w:ascii="仿宋" w:hAnsi="仿宋" w:eastAsia="仿宋" w:cs="仿宋"/>
          <w:color w:val="auto"/>
          <w:sz w:val="24"/>
          <w:szCs w:val="24"/>
          <w:highlight w:val="none"/>
        </w:rPr>
      </w:pPr>
    </w:p>
    <w:p w14:paraId="0F19F088">
      <w:pPr>
        <w:shd w:val="clear"/>
        <w:spacing w:before="60" w:after="60" w:line="500" w:lineRule="exact"/>
        <w:ind w:firstLine="510"/>
        <w:rPr>
          <w:rFonts w:hint="eastAsia" w:ascii="仿宋" w:hAnsi="仿宋" w:eastAsia="仿宋" w:cs="仿宋"/>
          <w:color w:val="auto"/>
          <w:sz w:val="24"/>
          <w:szCs w:val="24"/>
          <w:highlight w:val="none"/>
        </w:rPr>
      </w:pPr>
    </w:p>
    <w:p w14:paraId="578ECC70">
      <w:pPr>
        <w:shd w:val="clear"/>
        <w:spacing w:before="60" w:after="60" w:line="500" w:lineRule="exact"/>
        <w:ind w:firstLine="510"/>
        <w:rPr>
          <w:rFonts w:hint="eastAsia" w:ascii="仿宋" w:hAnsi="仿宋" w:eastAsia="仿宋" w:cs="仿宋"/>
          <w:color w:val="auto"/>
          <w:sz w:val="24"/>
          <w:szCs w:val="24"/>
          <w:highlight w:val="none"/>
        </w:rPr>
      </w:pPr>
    </w:p>
    <w:p w14:paraId="3C2C718C">
      <w:pPr>
        <w:shd w:val="clear"/>
        <w:spacing w:before="60" w:after="60" w:line="500" w:lineRule="exact"/>
        <w:ind w:firstLine="510"/>
        <w:rPr>
          <w:rFonts w:hint="eastAsia" w:ascii="仿宋" w:hAnsi="仿宋" w:eastAsia="仿宋" w:cs="仿宋"/>
          <w:color w:val="auto"/>
          <w:sz w:val="24"/>
          <w:szCs w:val="24"/>
          <w:highlight w:val="none"/>
        </w:rPr>
      </w:pPr>
    </w:p>
    <w:p w14:paraId="77B3E258">
      <w:pPr>
        <w:shd w:val="clear"/>
        <w:spacing w:before="60" w:after="60" w:line="500" w:lineRule="exact"/>
        <w:ind w:firstLine="510"/>
        <w:rPr>
          <w:rFonts w:hint="eastAsia" w:ascii="仿宋" w:hAnsi="仿宋" w:eastAsia="仿宋" w:cs="仿宋"/>
          <w:color w:val="auto"/>
          <w:sz w:val="24"/>
          <w:szCs w:val="24"/>
          <w:highlight w:val="none"/>
        </w:rPr>
      </w:pPr>
    </w:p>
    <w:p w14:paraId="2B7E0CB7">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44CAC01A">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7AAA9144">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08CEB6AA">
      <w:p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627" w:name="_Toc31603098"/>
      <w:bookmarkStart w:id="628" w:name="_Toc38173197"/>
      <w:bookmarkStart w:id="629" w:name="_Toc469987742"/>
      <w:bookmarkStart w:id="630" w:name="_Toc4678"/>
      <w:bookmarkStart w:id="631" w:name="_Toc469987156"/>
    </w:p>
    <w:p w14:paraId="78FF45BE">
      <w:pPr>
        <w:bidi w:val="0"/>
        <w:rPr>
          <w:rFonts w:hint="eastAsia" w:ascii="仿宋" w:hAnsi="仿宋" w:eastAsia="仿宋" w:cs="仿宋"/>
          <w:color w:val="auto"/>
          <w:highlight w:val="none"/>
        </w:rPr>
      </w:pPr>
    </w:p>
    <w:p w14:paraId="07D6726A">
      <w:pPr>
        <w:keepNext/>
        <w:keepLines/>
        <w:shd w:val="clear"/>
        <w:spacing w:before="60" w:after="60"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格式3</w:t>
      </w:r>
      <w:bookmarkEnd w:id="627"/>
      <w:bookmarkEnd w:id="628"/>
      <w:r>
        <w:rPr>
          <w:rFonts w:hint="eastAsia" w:ascii="仿宋" w:hAnsi="仿宋" w:eastAsia="仿宋" w:cs="仿宋"/>
          <w:b/>
          <w:color w:val="auto"/>
          <w:sz w:val="24"/>
          <w:szCs w:val="24"/>
          <w:highlight w:val="none"/>
        </w:rPr>
        <w:t>、投标人承诺书（1）</w:t>
      </w:r>
      <w:bookmarkEnd w:id="629"/>
      <w:bookmarkEnd w:id="630"/>
      <w:bookmarkEnd w:id="631"/>
    </w:p>
    <w:p w14:paraId="1D89D30C">
      <w:pPr>
        <w:widowControl/>
        <w:shd w:val="clear"/>
        <w:spacing w:line="52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本单位作为参与</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的投标人，现</w:t>
      </w:r>
      <w:r>
        <w:rPr>
          <w:rFonts w:hint="eastAsia" w:ascii="仿宋" w:hAnsi="仿宋" w:eastAsia="仿宋" w:cs="仿宋"/>
          <w:color w:val="auto"/>
          <w:kern w:val="0"/>
          <w:sz w:val="24"/>
          <w:szCs w:val="24"/>
          <w:highlight w:val="none"/>
          <w:lang w:eastAsia="zh-CN"/>
        </w:rPr>
        <w:t>作</w:t>
      </w:r>
      <w:r>
        <w:rPr>
          <w:rFonts w:hint="eastAsia" w:ascii="仿宋" w:hAnsi="仿宋" w:eastAsia="仿宋" w:cs="仿宋"/>
          <w:color w:val="auto"/>
          <w:kern w:val="0"/>
          <w:sz w:val="24"/>
          <w:szCs w:val="24"/>
          <w:highlight w:val="none"/>
        </w:rPr>
        <w:t>如下承诺：</w:t>
      </w:r>
    </w:p>
    <w:p w14:paraId="479A8C18">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1、所提供的一切材料都是真实、有效、合法的。</w:t>
      </w:r>
    </w:p>
    <w:p w14:paraId="1DAFF255">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2、不与其他投标人串通投标，不损害</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或其他投标人的合法权益。</w:t>
      </w:r>
    </w:p>
    <w:p w14:paraId="1ECE7E80">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3、不转让、出租、出借资质证书、人员岗位证书或以其他方式允许他人以本企业名义投标。</w:t>
      </w:r>
    </w:p>
    <w:p w14:paraId="5F397663">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4、不与</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串通投标，损害国家利益、社会公共利益或者他人的合法权益。</w:t>
      </w:r>
    </w:p>
    <w:p w14:paraId="7A7D19B8">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5、不向</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、评标委员会成员、监督人员行贿。</w:t>
      </w:r>
    </w:p>
    <w:p w14:paraId="3E939C1E">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6、不扰乱招标投标活动正常秩序。</w:t>
      </w:r>
    </w:p>
    <w:p w14:paraId="2E1B962C">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7、不进行虚假恶意投诉。</w:t>
      </w:r>
    </w:p>
    <w:p w14:paraId="1C5E6A6B">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未</w:t>
      </w:r>
      <w:r>
        <w:rPr>
          <w:rFonts w:hint="eastAsia" w:ascii="仿宋" w:hAnsi="仿宋" w:eastAsia="仿宋" w:cs="仿宋"/>
          <w:color w:val="auto"/>
          <w:kern w:val="0"/>
          <w:sz w:val="24"/>
          <w:szCs w:val="24"/>
          <w:highlight w:val="none"/>
        </w:rPr>
        <w:t>因违反</w:t>
      </w:r>
      <w:r>
        <w:rPr>
          <w:rFonts w:hint="eastAsia" w:ascii="仿宋" w:hAnsi="仿宋" w:eastAsia="仿宋" w:cs="仿宋"/>
          <w:color w:val="auto"/>
          <w:kern w:val="0"/>
          <w:sz w:val="24"/>
          <w:szCs w:val="24"/>
          <w:highlight w:val="none"/>
          <w:lang w:eastAsia="zh-CN"/>
        </w:rPr>
        <w:t>法律法规</w:t>
      </w:r>
      <w:r>
        <w:rPr>
          <w:rFonts w:hint="eastAsia" w:ascii="仿宋" w:hAnsi="仿宋" w:eastAsia="仿宋" w:cs="仿宋"/>
          <w:color w:val="auto"/>
          <w:kern w:val="0"/>
          <w:sz w:val="24"/>
          <w:szCs w:val="24"/>
          <w:highlight w:val="none"/>
        </w:rPr>
        <w:t>、规章被查处的，不干预案件查处。</w:t>
      </w:r>
    </w:p>
    <w:p w14:paraId="47EA11A0">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如出现上述行为，本投标人自愿承担相关责任，接受</w:t>
      </w:r>
      <w:r>
        <w:rPr>
          <w:rFonts w:hint="eastAsia" w:ascii="仿宋" w:hAnsi="仿宋" w:eastAsia="仿宋" w:cs="仿宋"/>
          <w:color w:val="auto"/>
          <w:sz w:val="24"/>
          <w:szCs w:val="24"/>
          <w:highlight w:val="none"/>
          <w:lang w:val="en-US" w:eastAsia="zh-CN"/>
        </w:rPr>
        <w:t>政府采购</w:t>
      </w:r>
      <w:r>
        <w:rPr>
          <w:rFonts w:hint="eastAsia" w:ascii="仿宋" w:hAnsi="仿宋" w:eastAsia="仿宋" w:cs="仿宋"/>
          <w:color w:val="auto"/>
          <w:sz w:val="24"/>
          <w:szCs w:val="24"/>
          <w:highlight w:val="none"/>
        </w:rPr>
        <w:t>监督管理部门、</w:t>
      </w:r>
      <w:r>
        <w:rPr>
          <w:rFonts w:hint="eastAsia" w:ascii="仿宋" w:hAnsi="仿宋" w:eastAsia="仿宋" w:cs="仿宋"/>
          <w:color w:val="auto"/>
          <w:sz w:val="24"/>
          <w:szCs w:val="24"/>
          <w:highlight w:val="none"/>
          <w:lang w:eastAsia="zh-CN"/>
        </w:rPr>
        <w:t>纪检监察机关</w:t>
      </w:r>
      <w:r>
        <w:rPr>
          <w:rFonts w:hint="eastAsia" w:ascii="仿宋" w:hAnsi="仿宋" w:eastAsia="仿宋" w:cs="仿宋"/>
          <w:color w:val="auto"/>
          <w:sz w:val="24"/>
          <w:szCs w:val="24"/>
          <w:highlight w:val="none"/>
        </w:rPr>
        <w:t>或司法机关调查处理。</w:t>
      </w:r>
      <w:r>
        <w:rPr>
          <w:rFonts w:hint="eastAsia" w:ascii="仿宋" w:hAnsi="仿宋" w:eastAsia="仿宋" w:cs="仿宋"/>
          <w:color w:val="auto"/>
          <w:kern w:val="0"/>
          <w:sz w:val="24"/>
          <w:szCs w:val="24"/>
          <w:highlight w:val="none"/>
        </w:rPr>
        <w:t>给</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造成损失的，依法承担赔偿责任。</w:t>
      </w:r>
    </w:p>
    <w:p w14:paraId="45FEE864">
      <w:pPr>
        <w:widowControl/>
        <w:shd w:val="clear"/>
        <w:spacing w:line="520" w:lineRule="exact"/>
        <w:jc w:val="left"/>
        <w:rPr>
          <w:rFonts w:hint="eastAsia" w:ascii="仿宋" w:hAnsi="仿宋" w:eastAsia="仿宋" w:cs="仿宋"/>
          <w:color w:val="auto"/>
          <w:kern w:val="0"/>
          <w:sz w:val="24"/>
          <w:szCs w:val="24"/>
          <w:highlight w:val="none"/>
        </w:rPr>
      </w:pPr>
    </w:p>
    <w:p w14:paraId="495B5F2A">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p>
    <w:p w14:paraId="73932C73">
      <w:pPr>
        <w:widowControl/>
        <w:shd w:val="clear"/>
        <w:spacing w:line="520" w:lineRule="exact"/>
        <w:ind w:firstLine="480" w:firstLineChars="200"/>
        <w:jc w:val="left"/>
        <w:rPr>
          <w:rFonts w:hint="eastAsia" w:ascii="仿宋" w:hAnsi="仿宋" w:eastAsia="仿宋" w:cs="仿宋"/>
          <w:color w:val="auto"/>
          <w:kern w:val="0"/>
          <w:sz w:val="24"/>
          <w:szCs w:val="24"/>
          <w:highlight w:val="none"/>
        </w:rPr>
      </w:pPr>
    </w:p>
    <w:p w14:paraId="7ADD5CF3">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0B3B4E2C">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48A5B011">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06BECD4A">
      <w:pPr>
        <w:keepNext/>
        <w:keepLines/>
        <w:shd w:val="clear"/>
        <w:spacing w:before="60" w:after="60"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632" w:name="_Toc22167"/>
      <w:bookmarkStart w:id="633" w:name="_Toc469987158"/>
      <w:bookmarkStart w:id="634" w:name="_Toc469987744"/>
      <w:r>
        <w:rPr>
          <w:rFonts w:hint="eastAsia" w:ascii="仿宋" w:hAnsi="仿宋" w:eastAsia="仿宋" w:cs="仿宋"/>
          <w:b/>
          <w:color w:val="auto"/>
          <w:sz w:val="24"/>
          <w:szCs w:val="24"/>
          <w:highlight w:val="none"/>
        </w:rPr>
        <w:t>格式4、投标人承诺书（2）</w:t>
      </w:r>
      <w:bookmarkEnd w:id="632"/>
      <w:bookmarkEnd w:id="633"/>
      <w:bookmarkEnd w:id="634"/>
    </w:p>
    <w:p w14:paraId="77236C01">
      <w:pPr>
        <w:shd w:val="clear"/>
        <w:rPr>
          <w:rFonts w:hint="eastAsia" w:ascii="仿宋" w:hAnsi="仿宋" w:eastAsia="仿宋" w:cs="仿宋"/>
          <w:color w:val="auto"/>
          <w:sz w:val="24"/>
          <w:szCs w:val="24"/>
          <w:highlight w:val="none"/>
        </w:rPr>
      </w:pPr>
    </w:p>
    <w:p w14:paraId="49BA124D">
      <w:pPr>
        <w:shd w:val="clea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b/>
          <w:color w:val="auto"/>
          <w:sz w:val="24"/>
          <w:szCs w:val="24"/>
          <w:highlight w:val="none"/>
          <w:u w:val="single"/>
          <w:lang w:val="en-US" w:eastAsia="zh-CN"/>
        </w:rPr>
        <w:t>招标人/采购代理机构</w:t>
      </w:r>
    </w:p>
    <w:p w14:paraId="5B349E85">
      <w:pPr>
        <w:shd w:val="clear"/>
        <w:spacing w:line="48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本书作为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）公开招标的承诺书，现</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出如下承诺：</w:t>
      </w:r>
    </w:p>
    <w:p w14:paraId="0F676660">
      <w:pPr>
        <w:shd w:val="clear"/>
        <w:spacing w:line="6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我方承诺我方会认真阅读招标文件中的所有规定及要求，如发现招标文件规定有误或要求不合理的，我方必将在收到招标文件后在七个工作日内以书面形式加盖鲜公章递交至</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要求澄清，否则，即等同于我公司已完全认同招标文件的规定及要求。</w:t>
      </w:r>
    </w:p>
    <w:p w14:paraId="2CCB5B13">
      <w:pPr>
        <w:shd w:val="clear"/>
        <w:ind w:firstLine="420"/>
        <w:jc w:val="left"/>
        <w:rPr>
          <w:rFonts w:hint="eastAsia" w:ascii="仿宋" w:hAnsi="仿宋" w:eastAsia="仿宋" w:cs="仿宋"/>
          <w:color w:val="auto"/>
          <w:sz w:val="24"/>
          <w:szCs w:val="24"/>
          <w:highlight w:val="none"/>
        </w:rPr>
      </w:pPr>
    </w:p>
    <w:p w14:paraId="6543139E">
      <w:pPr>
        <w:shd w:val="clear"/>
        <w:ind w:firstLine="420"/>
        <w:jc w:val="left"/>
        <w:rPr>
          <w:rFonts w:hint="eastAsia" w:ascii="仿宋" w:hAnsi="仿宋" w:eastAsia="仿宋" w:cs="仿宋"/>
          <w:color w:val="auto"/>
          <w:sz w:val="24"/>
          <w:szCs w:val="24"/>
          <w:highlight w:val="none"/>
        </w:rPr>
      </w:pPr>
    </w:p>
    <w:p w14:paraId="6DA7F61F">
      <w:pPr>
        <w:shd w:val="clear"/>
        <w:ind w:firstLine="420"/>
        <w:jc w:val="left"/>
        <w:rPr>
          <w:rFonts w:hint="eastAsia" w:ascii="仿宋" w:hAnsi="仿宋" w:eastAsia="仿宋" w:cs="仿宋"/>
          <w:color w:val="auto"/>
          <w:sz w:val="24"/>
          <w:szCs w:val="24"/>
          <w:highlight w:val="none"/>
        </w:rPr>
      </w:pPr>
    </w:p>
    <w:p w14:paraId="297C88E3">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407C0D4D">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58079B93">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352EF566">
      <w:pPr>
        <w:rPr>
          <w:rFonts w:hint="eastAsia" w:ascii="仿宋" w:hAnsi="仿宋" w:eastAsia="仿宋" w:cs="仿宋"/>
          <w:highlight w:val="none"/>
        </w:rPr>
      </w:pPr>
      <w:r>
        <w:rPr>
          <w:rFonts w:hint="eastAsia" w:ascii="仿宋" w:hAnsi="仿宋" w:eastAsia="仿宋" w:cs="仿宋"/>
          <w:highlight w:val="none"/>
        </w:rPr>
        <w:br w:type="page"/>
      </w:r>
    </w:p>
    <w:p w14:paraId="4993CE99">
      <w:pPr>
        <w:pStyle w:val="19"/>
        <w:rPr>
          <w:rFonts w:hint="eastAsia" w:ascii="仿宋" w:hAnsi="仿宋" w:eastAsia="仿宋" w:cs="仿宋"/>
          <w:highlight w:val="none"/>
        </w:rPr>
      </w:pPr>
    </w:p>
    <w:p w14:paraId="12BAD1B4">
      <w:pPr>
        <w:keepNext/>
        <w:keepLines/>
        <w:shd w:val="clear" w:fill="FFFFFF" w:themeFill="background1"/>
        <w:spacing w:before="60" w:after="60" w:line="360" w:lineRule="auto"/>
        <w:ind w:firstLine="560"/>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格式</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、投标保证书</w:t>
      </w:r>
    </w:p>
    <w:p w14:paraId="70C57649">
      <w:pPr>
        <w:shd w:val="clear" w:fill="FFFFFF" w:themeFill="background1"/>
        <w:spacing w:line="360" w:lineRule="auto"/>
        <w:rPr>
          <w:rFonts w:hint="eastAsia" w:ascii="仿宋" w:hAnsi="仿宋" w:eastAsia="仿宋" w:cs="仿宋"/>
          <w:sz w:val="24"/>
          <w:szCs w:val="24"/>
          <w:highlight w:val="none"/>
        </w:rPr>
      </w:pPr>
    </w:p>
    <w:p w14:paraId="4E7600EC">
      <w:pPr>
        <w:shd w:val="clear" w:fill="FFFFFF" w:themeFill="background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致</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招标人</w:t>
      </w:r>
      <w:r>
        <w:rPr>
          <w:rFonts w:hint="eastAsia" w:ascii="仿宋" w:hAnsi="仿宋" w:eastAsia="仿宋" w:cs="仿宋"/>
          <w:b/>
          <w:sz w:val="24"/>
          <w:szCs w:val="24"/>
          <w:highlight w:val="none"/>
        </w:rPr>
        <w:t>）：</w:t>
      </w:r>
    </w:p>
    <w:p w14:paraId="7CBE8693">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本书作为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（投标单位）</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对</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提供的投标保证金的保证。</w:t>
      </w:r>
    </w:p>
    <w:p w14:paraId="35600E37">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由____________（开户银行名称）提供的_______（填投标保证金形式）总额为___________________（人民币_______元）。</w:t>
      </w:r>
    </w:p>
    <w:p w14:paraId="51BF0931">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一旦发生下述行为，我单位（或公司）将放弃追索保证金的权利并放弃中标：</w:t>
      </w:r>
    </w:p>
    <w:p w14:paraId="24229D2B">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（1）从开标日起到投标文件有效期满前，投标单位撤回投标；</w:t>
      </w:r>
    </w:p>
    <w:p w14:paraId="6F00A712">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（2）开标、评标到定标期间发生违反招标文件规定的行为；</w:t>
      </w:r>
    </w:p>
    <w:p w14:paraId="79407725">
      <w:pPr>
        <w:shd w:val="clear" w:fill="FFFFFF" w:themeFill="background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（3）在收到《中标通知书》后未能按中标通知书规定的时间地点与需求方签订合同；</w:t>
      </w:r>
    </w:p>
    <w:p w14:paraId="3ED4DF3B">
      <w:pPr>
        <w:shd w:val="clear" w:fill="FFFFFF" w:themeFill="background1"/>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（4）中标后未按规定交付中标服务费</w:t>
      </w:r>
      <w:r>
        <w:rPr>
          <w:rFonts w:hint="eastAsia" w:ascii="仿宋" w:hAnsi="仿宋" w:eastAsia="仿宋" w:cs="仿宋"/>
          <w:sz w:val="24"/>
          <w:szCs w:val="24"/>
          <w:highlight w:val="none"/>
          <w:lang w:eastAsia="zh-CN"/>
        </w:rPr>
        <w:t>；</w:t>
      </w:r>
    </w:p>
    <w:p w14:paraId="437E0F3D">
      <w:pPr>
        <w:shd w:val="clear" w:fill="FFFFFF" w:themeFill="background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（5）中标后无故不服从</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工作安排的，我公司自愿放弃中标资格。</w:t>
      </w:r>
    </w:p>
    <w:p w14:paraId="5E838F94">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本保证书自开标日起90日有效，除非贵方提前终止或解除本保证书。</w:t>
      </w:r>
    </w:p>
    <w:p w14:paraId="0A3F7DF8">
      <w:pPr>
        <w:shd w:val="clear" w:fill="FFFFFF" w:themeFill="background1"/>
        <w:spacing w:line="360" w:lineRule="auto"/>
        <w:rPr>
          <w:rFonts w:hint="eastAsia" w:ascii="仿宋" w:hAnsi="仿宋" w:eastAsia="仿宋" w:cs="仿宋"/>
          <w:sz w:val="24"/>
          <w:szCs w:val="24"/>
          <w:highlight w:val="none"/>
        </w:rPr>
      </w:pPr>
    </w:p>
    <w:p w14:paraId="2D56714D">
      <w:pPr>
        <w:shd w:val="clear" w:fill="FFFFFF" w:themeFill="background1"/>
        <w:spacing w:line="360" w:lineRule="auto"/>
        <w:rPr>
          <w:rFonts w:hint="eastAsia" w:ascii="仿宋" w:hAnsi="仿宋" w:eastAsia="仿宋" w:cs="仿宋"/>
          <w:sz w:val="24"/>
          <w:szCs w:val="24"/>
          <w:highlight w:val="none"/>
        </w:rPr>
      </w:pPr>
    </w:p>
    <w:p w14:paraId="12CE09EA">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eastAsia="zh-CN"/>
        </w:rPr>
        <w:t>电子公章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B1BF183">
      <w:pPr>
        <w:shd w:val="clear" w:fill="FFFFFF" w:themeFill="background1"/>
        <w:spacing w:line="360" w:lineRule="auto"/>
        <w:ind w:firstLine="51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p>
    <w:p w14:paraId="6CB1D31E">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r>
        <w:rPr>
          <w:rFonts w:hint="eastAsia" w:ascii="仿宋" w:hAnsi="仿宋" w:eastAsia="仿宋" w:cs="仿宋"/>
          <w:sz w:val="24"/>
          <w:szCs w:val="24"/>
          <w:highlight w:val="none"/>
          <w:u w:val="single"/>
        </w:rPr>
        <w:t xml:space="preserve">                                                    </w:t>
      </w:r>
    </w:p>
    <w:p w14:paraId="0617DBD9">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lang w:eastAsia="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4C10CA2F">
      <w:pPr>
        <w:shd w:val="clear" w:fill="FFFFFF" w:themeFill="background1"/>
        <w:spacing w:line="360" w:lineRule="auto"/>
        <w:ind w:firstLine="510"/>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00AD4669">
      <w:pPr>
        <w:shd w:val="clear" w:fill="FFFFFF" w:themeFill="background1"/>
        <w:ind w:firstLine="420"/>
        <w:rPr>
          <w:rFonts w:hint="eastAsia" w:ascii="仿宋" w:hAnsi="仿宋" w:eastAsia="仿宋" w:cs="仿宋"/>
          <w:b/>
          <w:sz w:val="24"/>
          <w:szCs w:val="24"/>
          <w:highlight w:val="none"/>
        </w:rPr>
      </w:pPr>
    </w:p>
    <w:p w14:paraId="00BDE68F">
      <w:pPr>
        <w:shd w:val="clear" w:fill="FFFFFF" w:themeFill="background1"/>
        <w:ind w:firstLine="420"/>
        <w:rPr>
          <w:rFonts w:hint="eastAsia" w:ascii="仿宋" w:hAnsi="仿宋" w:eastAsia="仿宋" w:cs="仿宋"/>
          <w:b/>
          <w:sz w:val="24"/>
          <w:szCs w:val="24"/>
          <w:highlight w:val="none"/>
        </w:rPr>
      </w:pPr>
    </w:p>
    <w:p w14:paraId="464D9919">
      <w:pPr>
        <w:pStyle w:val="10"/>
        <w:shd w:val="clear" w:fill="FFFFFF" w:themeFill="background1"/>
        <w:rPr>
          <w:rFonts w:hint="eastAsia" w:ascii="仿宋" w:hAnsi="仿宋" w:eastAsia="仿宋" w:cs="仿宋"/>
          <w:b/>
          <w:bCs w:val="0"/>
          <w:color w:val="auto"/>
          <w:highlight w:val="none"/>
        </w:rPr>
      </w:pPr>
      <w:r>
        <w:rPr>
          <w:rFonts w:hint="eastAsia" w:ascii="仿宋" w:hAnsi="仿宋" w:eastAsia="仿宋" w:cs="仿宋"/>
          <w:b/>
          <w:bCs w:val="0"/>
          <w:sz w:val="24"/>
          <w:szCs w:val="24"/>
          <w:highlight w:val="none"/>
        </w:rPr>
        <w:t>附投标保证金</w:t>
      </w:r>
      <w:r>
        <w:rPr>
          <w:rFonts w:hint="eastAsia" w:ascii="仿宋" w:hAnsi="仿宋" w:eastAsia="仿宋" w:cs="仿宋"/>
          <w:b/>
          <w:bCs w:val="0"/>
          <w:sz w:val="24"/>
          <w:szCs w:val="24"/>
          <w:highlight w:val="none"/>
          <w:lang w:val="en-US" w:eastAsia="zh-CN"/>
        </w:rPr>
        <w:t>提交</w:t>
      </w:r>
      <w:r>
        <w:rPr>
          <w:rFonts w:hint="eastAsia" w:ascii="仿宋" w:hAnsi="仿宋" w:eastAsia="仿宋" w:cs="仿宋"/>
          <w:b/>
          <w:bCs w:val="0"/>
          <w:sz w:val="24"/>
          <w:szCs w:val="24"/>
          <w:highlight w:val="none"/>
        </w:rPr>
        <w:t>凭证</w:t>
      </w:r>
    </w:p>
    <w:p w14:paraId="2C28DCAD">
      <w:pPr>
        <w:shd w:val="clear"/>
        <w:rPr>
          <w:rFonts w:hint="eastAsia" w:ascii="仿宋" w:hAnsi="仿宋" w:eastAsia="仿宋" w:cs="仿宋"/>
          <w:color w:val="auto"/>
          <w:highlight w:val="none"/>
        </w:rPr>
      </w:pPr>
    </w:p>
    <w:p w14:paraId="38896A14">
      <w:pPr>
        <w:keepNext/>
        <w:keepLines/>
        <w:shd w:val="clear"/>
        <w:spacing w:before="60" w:after="60" w:line="500" w:lineRule="exact"/>
        <w:ind w:firstLine="560"/>
        <w:outlineLvl w:val="2"/>
        <w:rPr>
          <w:rFonts w:hint="eastAsia" w:ascii="仿宋" w:hAnsi="仿宋" w:eastAsia="仿宋" w:cs="仿宋"/>
          <w:b/>
          <w:color w:val="auto"/>
          <w:sz w:val="24"/>
          <w:szCs w:val="24"/>
          <w:highlight w:val="none"/>
        </w:rPr>
      </w:pPr>
      <w:r>
        <w:rPr>
          <w:rFonts w:hint="eastAsia" w:ascii="仿宋" w:hAnsi="仿宋" w:eastAsia="仿宋" w:cs="仿宋"/>
          <w:color w:val="auto"/>
          <w:szCs w:val="24"/>
          <w:highlight w:val="none"/>
          <w:u w:val="single"/>
        </w:rPr>
        <w:br w:type="page"/>
      </w:r>
      <w:bookmarkStart w:id="635" w:name="_Toc527634723"/>
      <w:bookmarkStart w:id="636" w:name="_Toc5187"/>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、投标人基本情况表</w:t>
      </w:r>
      <w:bookmarkEnd w:id="635"/>
      <w:bookmarkEnd w:id="636"/>
    </w:p>
    <w:p w14:paraId="12D7E39E">
      <w:pPr>
        <w:shd w:val="clear"/>
        <w:ind w:firstLine="420"/>
        <w:rPr>
          <w:rFonts w:hint="eastAsia" w:ascii="仿宋" w:hAnsi="仿宋" w:eastAsia="仿宋" w:cs="仿宋"/>
          <w:color w:val="auto"/>
          <w:sz w:val="24"/>
          <w:szCs w:val="24"/>
          <w:highlight w:val="none"/>
        </w:rPr>
      </w:pPr>
    </w:p>
    <w:p w14:paraId="07D000AE">
      <w:pPr>
        <w:shd w:val="clear"/>
        <w:ind w:firstLine="420"/>
        <w:rPr>
          <w:rFonts w:hint="eastAsia" w:ascii="仿宋" w:hAnsi="仿宋" w:eastAsia="仿宋" w:cs="仿宋"/>
          <w:color w:val="auto"/>
          <w:sz w:val="24"/>
          <w:szCs w:val="24"/>
          <w:highlight w:val="none"/>
        </w:rPr>
      </w:pPr>
    </w:p>
    <w:tbl>
      <w:tblPr>
        <w:tblStyle w:val="23"/>
        <w:tblpPr w:leftFromText="180" w:rightFromText="180" w:vertAnchor="text" w:horzAnchor="margin" w:tblpXSpec="center" w:tblpY="158"/>
        <w:tblW w:w="10031" w:type="dxa"/>
        <w:tblInd w:w="0" w:type="dxa"/>
        <w:tblLayout w:type="fixed"/>
        <w:tblCellMar>
          <w:top w:w="0" w:type="dxa"/>
          <w:left w:w="108" w:type="dxa"/>
          <w:bottom w:w="0" w:type="dxa"/>
          <w:right w:w="108" w:type="dxa"/>
        </w:tblCellMar>
      </w:tblPr>
      <w:tblGrid>
        <w:gridCol w:w="2098"/>
        <w:gridCol w:w="3455"/>
        <w:gridCol w:w="1533"/>
        <w:gridCol w:w="2945"/>
      </w:tblGrid>
      <w:tr w14:paraId="5AE5F48E">
        <w:tblPrEx>
          <w:tblCellMar>
            <w:top w:w="0" w:type="dxa"/>
            <w:left w:w="108" w:type="dxa"/>
            <w:bottom w:w="0" w:type="dxa"/>
            <w:right w:w="108" w:type="dxa"/>
          </w:tblCellMar>
        </w:tblPrEx>
        <w:trPr>
          <w:trHeight w:val="25" w:hRule="atLeast"/>
        </w:trPr>
        <w:tc>
          <w:tcPr>
            <w:tcW w:w="2098" w:type="dxa"/>
            <w:tcBorders>
              <w:top w:val="single" w:color="auto" w:sz="6" w:space="0"/>
              <w:left w:val="single" w:color="auto" w:sz="6" w:space="0"/>
              <w:bottom w:val="single" w:color="auto" w:sz="6" w:space="0"/>
              <w:right w:val="single" w:color="auto" w:sz="6" w:space="0"/>
            </w:tcBorders>
            <w:shd w:val="clear" w:color="auto" w:fill="D9D9D9"/>
            <w:vAlign w:val="center"/>
          </w:tcPr>
          <w:p w14:paraId="58AF1DC8">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933" w:type="dxa"/>
            <w:gridSpan w:val="3"/>
            <w:tcBorders>
              <w:top w:val="single" w:color="auto" w:sz="6" w:space="0"/>
              <w:left w:val="single" w:color="auto" w:sz="6" w:space="0"/>
              <w:bottom w:val="single" w:color="auto" w:sz="6" w:space="0"/>
              <w:right w:val="single" w:color="auto" w:sz="6" w:space="0"/>
            </w:tcBorders>
            <w:vAlign w:val="center"/>
          </w:tcPr>
          <w:p w14:paraId="0C26EDB1">
            <w:pPr>
              <w:shd w:val="clear"/>
              <w:spacing w:line="440" w:lineRule="exact"/>
              <w:ind w:firstLine="200"/>
              <w:rPr>
                <w:rFonts w:hint="eastAsia" w:ascii="仿宋" w:hAnsi="仿宋" w:eastAsia="仿宋" w:cs="仿宋"/>
                <w:color w:val="auto"/>
                <w:sz w:val="24"/>
                <w:szCs w:val="24"/>
                <w:highlight w:val="none"/>
              </w:rPr>
            </w:pPr>
          </w:p>
        </w:tc>
      </w:tr>
      <w:tr w14:paraId="2234688B">
        <w:tblPrEx>
          <w:tblCellMar>
            <w:top w:w="0" w:type="dxa"/>
            <w:left w:w="108" w:type="dxa"/>
            <w:bottom w:w="0" w:type="dxa"/>
            <w:right w:w="108" w:type="dxa"/>
          </w:tblCellMar>
        </w:tblPrEx>
        <w:trPr>
          <w:trHeight w:val="25" w:hRule="atLeast"/>
        </w:trPr>
        <w:tc>
          <w:tcPr>
            <w:tcW w:w="2098" w:type="dxa"/>
            <w:tcBorders>
              <w:top w:val="single" w:color="auto" w:sz="6" w:space="0"/>
              <w:left w:val="single" w:color="auto" w:sz="6" w:space="0"/>
              <w:bottom w:val="single" w:color="auto" w:sz="6" w:space="0"/>
              <w:right w:val="single" w:color="auto" w:sz="6" w:space="0"/>
            </w:tcBorders>
            <w:shd w:val="clear" w:color="auto" w:fill="D9D9D9"/>
            <w:vAlign w:val="center"/>
          </w:tcPr>
          <w:p w14:paraId="6DDBC4A2">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经济类型</w:t>
            </w:r>
          </w:p>
        </w:tc>
        <w:tc>
          <w:tcPr>
            <w:tcW w:w="3455" w:type="dxa"/>
            <w:tcBorders>
              <w:top w:val="single" w:color="auto" w:sz="6" w:space="0"/>
              <w:left w:val="single" w:color="auto" w:sz="6" w:space="0"/>
              <w:bottom w:val="single" w:color="auto" w:sz="6" w:space="0"/>
              <w:right w:val="single" w:color="auto" w:sz="6" w:space="0"/>
            </w:tcBorders>
            <w:vAlign w:val="center"/>
          </w:tcPr>
          <w:p w14:paraId="598FD2AC">
            <w:pPr>
              <w:shd w:val="clear"/>
              <w:spacing w:line="440" w:lineRule="exact"/>
              <w:ind w:firstLine="200"/>
              <w:rPr>
                <w:rFonts w:hint="eastAsia" w:ascii="仿宋" w:hAnsi="仿宋" w:eastAsia="仿宋" w:cs="仿宋"/>
                <w:color w:val="auto"/>
                <w:sz w:val="24"/>
                <w:szCs w:val="24"/>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14:paraId="2E99FCE2">
            <w:pPr>
              <w:shd w:val="clear"/>
              <w:spacing w:line="440" w:lineRule="exact"/>
              <w:ind w:left="34" w:leftChars="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945" w:type="dxa"/>
            <w:tcBorders>
              <w:top w:val="single" w:color="auto" w:sz="6" w:space="0"/>
              <w:left w:val="single" w:color="auto" w:sz="6" w:space="0"/>
              <w:bottom w:val="single" w:color="auto" w:sz="6" w:space="0"/>
              <w:right w:val="single" w:color="auto" w:sz="6" w:space="0"/>
            </w:tcBorders>
            <w:vAlign w:val="center"/>
          </w:tcPr>
          <w:p w14:paraId="79F132E8">
            <w:pPr>
              <w:shd w:val="clear"/>
              <w:spacing w:line="440" w:lineRule="exact"/>
              <w:ind w:firstLine="200"/>
              <w:rPr>
                <w:rFonts w:hint="eastAsia" w:ascii="仿宋" w:hAnsi="仿宋" w:eastAsia="仿宋" w:cs="仿宋"/>
                <w:color w:val="auto"/>
                <w:sz w:val="24"/>
                <w:szCs w:val="24"/>
                <w:highlight w:val="none"/>
              </w:rPr>
            </w:pPr>
          </w:p>
        </w:tc>
      </w:tr>
      <w:tr w14:paraId="6276FD61">
        <w:tblPrEx>
          <w:tblCellMar>
            <w:top w:w="0" w:type="dxa"/>
            <w:left w:w="108" w:type="dxa"/>
            <w:bottom w:w="0" w:type="dxa"/>
            <w:right w:w="108" w:type="dxa"/>
          </w:tblCellMar>
        </w:tblPrEx>
        <w:trPr>
          <w:trHeight w:val="25" w:hRule="atLeast"/>
        </w:trPr>
        <w:tc>
          <w:tcPr>
            <w:tcW w:w="2098" w:type="dxa"/>
            <w:tcBorders>
              <w:top w:val="single" w:color="auto" w:sz="6" w:space="0"/>
              <w:left w:val="single" w:color="auto" w:sz="6" w:space="0"/>
              <w:bottom w:val="single" w:color="auto" w:sz="6" w:space="0"/>
              <w:right w:val="single" w:color="auto" w:sz="6" w:space="0"/>
            </w:tcBorders>
            <w:shd w:val="clear" w:color="auto" w:fill="D9D9D9"/>
            <w:vAlign w:val="center"/>
          </w:tcPr>
          <w:p w14:paraId="504AAE59">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455" w:type="dxa"/>
            <w:tcBorders>
              <w:top w:val="single" w:color="auto" w:sz="6" w:space="0"/>
              <w:left w:val="single" w:color="auto" w:sz="6" w:space="0"/>
              <w:bottom w:val="single" w:color="auto" w:sz="6" w:space="0"/>
              <w:right w:val="single" w:color="auto" w:sz="6" w:space="0"/>
            </w:tcBorders>
            <w:vAlign w:val="center"/>
          </w:tcPr>
          <w:p w14:paraId="3D6D11DE">
            <w:pPr>
              <w:shd w:val="clear"/>
              <w:spacing w:line="440" w:lineRule="exact"/>
              <w:ind w:firstLine="200"/>
              <w:rPr>
                <w:rFonts w:hint="eastAsia" w:ascii="仿宋" w:hAnsi="仿宋" w:eastAsia="仿宋" w:cs="仿宋"/>
                <w:color w:val="auto"/>
                <w:sz w:val="24"/>
                <w:szCs w:val="24"/>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14:paraId="2F2A1B82">
            <w:pPr>
              <w:shd w:val="clear"/>
              <w:spacing w:line="440" w:lineRule="exact"/>
              <w:ind w:left="34" w:leftChars="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2945" w:type="dxa"/>
            <w:tcBorders>
              <w:top w:val="single" w:color="auto" w:sz="6" w:space="0"/>
              <w:left w:val="single" w:color="auto" w:sz="6" w:space="0"/>
              <w:bottom w:val="single" w:color="auto" w:sz="6" w:space="0"/>
              <w:right w:val="single" w:color="auto" w:sz="6" w:space="0"/>
            </w:tcBorders>
            <w:vAlign w:val="center"/>
          </w:tcPr>
          <w:p w14:paraId="1DAC58AB">
            <w:pPr>
              <w:shd w:val="clear"/>
              <w:spacing w:line="440" w:lineRule="exact"/>
              <w:ind w:firstLine="200"/>
              <w:rPr>
                <w:rFonts w:hint="eastAsia" w:ascii="仿宋" w:hAnsi="仿宋" w:eastAsia="仿宋" w:cs="仿宋"/>
                <w:color w:val="auto"/>
                <w:sz w:val="24"/>
                <w:szCs w:val="24"/>
                <w:highlight w:val="none"/>
              </w:rPr>
            </w:pPr>
          </w:p>
        </w:tc>
      </w:tr>
      <w:tr w14:paraId="3E9BC24D">
        <w:tblPrEx>
          <w:tblCellMar>
            <w:top w:w="0" w:type="dxa"/>
            <w:left w:w="108" w:type="dxa"/>
            <w:bottom w:w="0" w:type="dxa"/>
            <w:right w:w="108" w:type="dxa"/>
          </w:tblCellMar>
        </w:tblPrEx>
        <w:trPr>
          <w:trHeight w:val="25" w:hRule="atLeast"/>
        </w:trPr>
        <w:tc>
          <w:tcPr>
            <w:tcW w:w="2098" w:type="dxa"/>
            <w:vMerge w:val="restart"/>
            <w:tcBorders>
              <w:top w:val="single" w:color="auto" w:sz="6" w:space="0"/>
              <w:left w:val="single" w:color="auto" w:sz="6" w:space="0"/>
              <w:bottom w:val="single" w:color="auto" w:sz="6" w:space="0"/>
              <w:right w:val="single" w:color="auto" w:sz="6" w:space="0"/>
            </w:tcBorders>
            <w:shd w:val="clear" w:color="auto" w:fill="D9D9D9"/>
            <w:vAlign w:val="center"/>
          </w:tcPr>
          <w:p w14:paraId="3773A5A4">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工商登记</w:t>
            </w:r>
          </w:p>
        </w:tc>
        <w:tc>
          <w:tcPr>
            <w:tcW w:w="7933" w:type="dxa"/>
            <w:gridSpan w:val="3"/>
            <w:tcBorders>
              <w:top w:val="single" w:color="auto" w:sz="6" w:space="0"/>
              <w:left w:val="single" w:color="auto" w:sz="6" w:space="0"/>
              <w:bottom w:val="single" w:color="auto" w:sz="6" w:space="0"/>
              <w:right w:val="single" w:color="auto" w:sz="6" w:space="0"/>
            </w:tcBorders>
            <w:vAlign w:val="center"/>
          </w:tcPr>
          <w:p w14:paraId="447902AF">
            <w:pPr>
              <w:shd w:val="clear"/>
              <w:spacing w:line="440" w:lineRule="exact"/>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登记机关：注册资本金</w:t>
            </w:r>
            <w:r>
              <w:rPr>
                <w:rFonts w:hint="eastAsia" w:ascii="仿宋" w:hAnsi="仿宋" w:eastAsia="仿宋" w:cs="仿宋"/>
                <w:color w:val="auto"/>
                <w:sz w:val="24"/>
                <w:szCs w:val="24"/>
                <w:highlight w:val="none"/>
                <w:lang w:eastAsia="zh-CN"/>
              </w:rPr>
              <w:t>：</w:t>
            </w:r>
          </w:p>
        </w:tc>
      </w:tr>
      <w:tr w14:paraId="2E4D9042">
        <w:tblPrEx>
          <w:tblCellMar>
            <w:top w:w="0" w:type="dxa"/>
            <w:left w:w="108" w:type="dxa"/>
            <w:bottom w:w="0" w:type="dxa"/>
            <w:right w:w="108" w:type="dxa"/>
          </w:tblCellMar>
        </w:tblPrEx>
        <w:trPr>
          <w:trHeight w:val="25" w:hRule="atLeast"/>
        </w:trPr>
        <w:tc>
          <w:tcPr>
            <w:tcW w:w="2098" w:type="dxa"/>
            <w:vMerge w:val="continue"/>
            <w:tcBorders>
              <w:top w:val="single" w:color="auto" w:sz="6" w:space="0"/>
              <w:left w:val="single" w:color="auto" w:sz="6" w:space="0"/>
              <w:bottom w:val="single" w:color="auto" w:sz="6" w:space="0"/>
              <w:right w:val="single" w:color="auto" w:sz="6" w:space="0"/>
            </w:tcBorders>
            <w:shd w:val="clear" w:color="auto" w:fill="D9D9D9"/>
            <w:vAlign w:val="center"/>
          </w:tcPr>
          <w:p w14:paraId="4BBB29B1">
            <w:pPr>
              <w:shd w:val="clear"/>
              <w:spacing w:line="440" w:lineRule="exact"/>
              <w:jc w:val="center"/>
              <w:rPr>
                <w:rFonts w:hint="eastAsia" w:ascii="仿宋" w:hAnsi="仿宋" w:eastAsia="仿宋" w:cs="仿宋"/>
                <w:color w:val="auto"/>
                <w:sz w:val="24"/>
                <w:szCs w:val="24"/>
                <w:highlight w:val="none"/>
              </w:rPr>
            </w:pPr>
          </w:p>
        </w:tc>
        <w:tc>
          <w:tcPr>
            <w:tcW w:w="7933" w:type="dxa"/>
            <w:gridSpan w:val="3"/>
            <w:tcBorders>
              <w:top w:val="single" w:color="auto" w:sz="6" w:space="0"/>
              <w:left w:val="single" w:color="auto" w:sz="6" w:space="0"/>
              <w:bottom w:val="single" w:color="auto" w:sz="6" w:space="0"/>
              <w:right w:val="single" w:color="auto" w:sz="6" w:space="0"/>
            </w:tcBorders>
            <w:vAlign w:val="center"/>
          </w:tcPr>
          <w:p w14:paraId="1309B253">
            <w:pPr>
              <w:shd w:val="clear"/>
              <w:spacing w:line="440" w:lineRule="exact"/>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执照号：</w:t>
            </w:r>
          </w:p>
        </w:tc>
      </w:tr>
      <w:tr w14:paraId="23EB58BB">
        <w:tblPrEx>
          <w:tblCellMar>
            <w:top w:w="0" w:type="dxa"/>
            <w:left w:w="108" w:type="dxa"/>
            <w:bottom w:w="0" w:type="dxa"/>
            <w:right w:w="108" w:type="dxa"/>
          </w:tblCellMar>
        </w:tblPrEx>
        <w:trPr>
          <w:trHeight w:val="25" w:hRule="atLeast"/>
        </w:trPr>
        <w:tc>
          <w:tcPr>
            <w:tcW w:w="2098" w:type="dxa"/>
            <w:tcBorders>
              <w:top w:val="single" w:color="auto" w:sz="6" w:space="0"/>
              <w:left w:val="single" w:color="auto" w:sz="6" w:space="0"/>
              <w:bottom w:val="single" w:color="auto" w:sz="6" w:space="0"/>
              <w:right w:val="single" w:color="auto" w:sz="6" w:space="0"/>
            </w:tcBorders>
            <w:shd w:val="clear" w:color="auto" w:fill="D9D9D9"/>
            <w:vAlign w:val="center"/>
          </w:tcPr>
          <w:p w14:paraId="528DBFE4">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w:t>
            </w:r>
          </w:p>
        </w:tc>
        <w:tc>
          <w:tcPr>
            <w:tcW w:w="7933" w:type="dxa"/>
            <w:gridSpan w:val="3"/>
            <w:tcBorders>
              <w:top w:val="single" w:color="auto" w:sz="6" w:space="0"/>
              <w:left w:val="single" w:color="auto" w:sz="6" w:space="0"/>
              <w:bottom w:val="single" w:color="auto" w:sz="6" w:space="0"/>
              <w:right w:val="single" w:color="auto" w:sz="6" w:space="0"/>
            </w:tcBorders>
            <w:vAlign w:val="center"/>
          </w:tcPr>
          <w:p w14:paraId="703B60BA">
            <w:pPr>
              <w:shd w:val="clear"/>
              <w:spacing w:line="440" w:lineRule="exact"/>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登记机关：税务号：</w:t>
            </w:r>
          </w:p>
        </w:tc>
      </w:tr>
      <w:tr w14:paraId="3950A65C">
        <w:tblPrEx>
          <w:tblCellMar>
            <w:top w:w="0" w:type="dxa"/>
            <w:left w:w="108" w:type="dxa"/>
            <w:bottom w:w="0" w:type="dxa"/>
            <w:right w:w="108" w:type="dxa"/>
          </w:tblCellMar>
        </w:tblPrEx>
        <w:trPr>
          <w:trHeight w:val="25" w:hRule="atLeast"/>
        </w:trPr>
        <w:tc>
          <w:tcPr>
            <w:tcW w:w="2098" w:type="dxa"/>
            <w:tcBorders>
              <w:top w:val="single" w:color="auto" w:sz="6" w:space="0"/>
              <w:left w:val="single" w:color="auto" w:sz="6" w:space="0"/>
              <w:bottom w:val="single" w:color="auto" w:sz="6" w:space="0"/>
              <w:right w:val="single" w:color="auto" w:sz="6" w:space="0"/>
            </w:tcBorders>
            <w:shd w:val="clear" w:color="auto" w:fill="D9D9D9"/>
            <w:vAlign w:val="center"/>
          </w:tcPr>
          <w:p w14:paraId="70BAA916">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933" w:type="dxa"/>
            <w:gridSpan w:val="3"/>
            <w:tcBorders>
              <w:top w:val="single" w:color="auto" w:sz="6" w:space="0"/>
              <w:left w:val="single" w:color="auto" w:sz="6" w:space="0"/>
              <w:right w:val="single" w:color="auto" w:sz="6" w:space="0"/>
            </w:tcBorders>
            <w:vAlign w:val="center"/>
          </w:tcPr>
          <w:p w14:paraId="2B8A0EA8">
            <w:pPr>
              <w:shd w:val="clear"/>
              <w:spacing w:line="440" w:lineRule="exact"/>
              <w:ind w:firstLine="200"/>
              <w:rPr>
                <w:rFonts w:hint="eastAsia" w:ascii="仿宋" w:hAnsi="仿宋" w:eastAsia="仿宋" w:cs="仿宋"/>
                <w:color w:val="auto"/>
                <w:sz w:val="24"/>
                <w:szCs w:val="24"/>
                <w:highlight w:val="none"/>
              </w:rPr>
            </w:pPr>
          </w:p>
        </w:tc>
      </w:tr>
      <w:tr w14:paraId="7B74692F">
        <w:tblPrEx>
          <w:tblCellMar>
            <w:top w:w="0" w:type="dxa"/>
            <w:left w:w="108" w:type="dxa"/>
            <w:bottom w:w="0" w:type="dxa"/>
            <w:right w:w="108" w:type="dxa"/>
          </w:tblCellMar>
        </w:tblPrEx>
        <w:trPr>
          <w:trHeight w:val="25" w:hRule="atLeast"/>
        </w:trPr>
        <w:tc>
          <w:tcPr>
            <w:tcW w:w="2098" w:type="dxa"/>
            <w:tcBorders>
              <w:top w:val="single" w:color="auto" w:sz="6" w:space="0"/>
              <w:left w:val="single" w:color="auto" w:sz="6" w:space="0"/>
              <w:bottom w:val="single" w:color="auto" w:sz="6" w:space="0"/>
              <w:right w:val="single" w:color="auto" w:sz="6" w:space="0"/>
            </w:tcBorders>
            <w:shd w:val="clear" w:color="auto" w:fill="D9D9D9"/>
            <w:vAlign w:val="center"/>
          </w:tcPr>
          <w:p w14:paraId="49EB9FCA">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企业详细地址</w:t>
            </w:r>
          </w:p>
        </w:tc>
        <w:tc>
          <w:tcPr>
            <w:tcW w:w="7933" w:type="dxa"/>
            <w:gridSpan w:val="3"/>
            <w:tcBorders>
              <w:top w:val="single" w:color="auto" w:sz="6" w:space="0"/>
              <w:left w:val="single" w:color="auto" w:sz="6" w:space="0"/>
              <w:bottom w:val="single" w:color="auto" w:sz="6" w:space="0"/>
              <w:right w:val="single" w:color="auto" w:sz="6" w:space="0"/>
            </w:tcBorders>
            <w:vAlign w:val="center"/>
          </w:tcPr>
          <w:p w14:paraId="294E1F1C">
            <w:pPr>
              <w:shd w:val="clear"/>
              <w:spacing w:line="440" w:lineRule="exact"/>
              <w:ind w:firstLine="200"/>
              <w:rPr>
                <w:rFonts w:hint="eastAsia" w:ascii="仿宋" w:hAnsi="仿宋" w:eastAsia="仿宋" w:cs="仿宋"/>
                <w:color w:val="auto"/>
                <w:sz w:val="24"/>
                <w:szCs w:val="24"/>
                <w:highlight w:val="none"/>
              </w:rPr>
            </w:pPr>
          </w:p>
        </w:tc>
      </w:tr>
      <w:tr w14:paraId="65A3DB50">
        <w:tblPrEx>
          <w:tblCellMar>
            <w:top w:w="0" w:type="dxa"/>
            <w:left w:w="108" w:type="dxa"/>
            <w:bottom w:w="0" w:type="dxa"/>
            <w:right w:w="108" w:type="dxa"/>
          </w:tblCellMar>
        </w:tblPrEx>
        <w:trPr>
          <w:trHeight w:val="25" w:hRule="atLeast"/>
        </w:trPr>
        <w:tc>
          <w:tcPr>
            <w:tcW w:w="2098" w:type="dxa"/>
            <w:vMerge w:val="restart"/>
            <w:tcBorders>
              <w:top w:val="single" w:color="auto" w:sz="6" w:space="0"/>
              <w:left w:val="single" w:color="auto" w:sz="6" w:space="0"/>
              <w:bottom w:val="single" w:color="auto" w:sz="6" w:space="0"/>
              <w:right w:val="single" w:color="auto" w:sz="6" w:space="0"/>
            </w:tcBorders>
            <w:shd w:val="clear" w:color="auto" w:fill="D9D9D9"/>
            <w:vAlign w:val="center"/>
          </w:tcPr>
          <w:p w14:paraId="282E4347">
            <w:pPr>
              <w:shd w:val="clea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通信联系</w:t>
            </w:r>
          </w:p>
        </w:tc>
        <w:tc>
          <w:tcPr>
            <w:tcW w:w="7933" w:type="dxa"/>
            <w:gridSpan w:val="3"/>
            <w:tcBorders>
              <w:top w:val="single" w:color="auto" w:sz="6" w:space="0"/>
              <w:left w:val="single" w:color="auto" w:sz="6" w:space="0"/>
              <w:bottom w:val="single" w:color="auto" w:sz="6" w:space="0"/>
              <w:right w:val="single" w:color="auto" w:sz="6" w:space="0"/>
            </w:tcBorders>
            <w:vAlign w:val="center"/>
          </w:tcPr>
          <w:p w14:paraId="382900BB">
            <w:pPr>
              <w:shd w:val="clear"/>
              <w:spacing w:line="440" w:lineRule="exact"/>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企业联系电话：传真：</w:t>
            </w:r>
          </w:p>
        </w:tc>
      </w:tr>
      <w:tr w14:paraId="3E915AF1">
        <w:tblPrEx>
          <w:tblCellMar>
            <w:top w:w="0" w:type="dxa"/>
            <w:left w:w="108" w:type="dxa"/>
            <w:bottom w:w="0" w:type="dxa"/>
            <w:right w:w="108" w:type="dxa"/>
          </w:tblCellMar>
        </w:tblPrEx>
        <w:trPr>
          <w:trHeight w:val="25" w:hRule="atLeast"/>
        </w:trPr>
        <w:tc>
          <w:tcPr>
            <w:tcW w:w="2098" w:type="dxa"/>
            <w:vMerge w:val="continue"/>
            <w:tcBorders>
              <w:top w:val="single" w:color="auto" w:sz="6" w:space="0"/>
              <w:left w:val="single" w:color="auto" w:sz="6" w:space="0"/>
              <w:bottom w:val="single" w:color="auto" w:sz="6" w:space="0"/>
              <w:right w:val="single" w:color="auto" w:sz="6" w:space="0"/>
            </w:tcBorders>
            <w:shd w:val="clear" w:color="auto" w:fill="D9D9D9"/>
            <w:vAlign w:val="center"/>
          </w:tcPr>
          <w:p w14:paraId="27854DD2">
            <w:pPr>
              <w:shd w:val="clear"/>
              <w:spacing w:line="440" w:lineRule="exact"/>
              <w:ind w:firstLine="200"/>
              <w:rPr>
                <w:rFonts w:hint="eastAsia" w:ascii="仿宋" w:hAnsi="仿宋" w:eastAsia="仿宋" w:cs="仿宋"/>
                <w:color w:val="auto"/>
                <w:sz w:val="24"/>
                <w:szCs w:val="24"/>
                <w:highlight w:val="none"/>
              </w:rPr>
            </w:pPr>
          </w:p>
        </w:tc>
        <w:tc>
          <w:tcPr>
            <w:tcW w:w="7933" w:type="dxa"/>
            <w:gridSpan w:val="3"/>
            <w:tcBorders>
              <w:top w:val="single" w:color="auto" w:sz="6" w:space="0"/>
              <w:left w:val="single" w:color="auto" w:sz="6" w:space="0"/>
              <w:bottom w:val="single" w:color="auto" w:sz="4" w:space="0"/>
              <w:right w:val="single" w:color="auto" w:sz="6" w:space="0"/>
            </w:tcBorders>
            <w:vAlign w:val="center"/>
          </w:tcPr>
          <w:p w14:paraId="73A21BE1">
            <w:pPr>
              <w:shd w:val="clear"/>
              <w:spacing w:line="440" w:lineRule="exact"/>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业务联系人：电话：</w:t>
            </w:r>
          </w:p>
        </w:tc>
      </w:tr>
    </w:tbl>
    <w:p w14:paraId="5C2F330F">
      <w:pPr>
        <w:shd w:val="clear"/>
        <w:ind w:firstLine="420"/>
        <w:rPr>
          <w:rFonts w:hint="eastAsia" w:ascii="仿宋" w:hAnsi="仿宋" w:eastAsia="仿宋" w:cs="仿宋"/>
          <w:color w:val="auto"/>
          <w:sz w:val="24"/>
          <w:szCs w:val="24"/>
          <w:highlight w:val="none"/>
        </w:rPr>
      </w:pPr>
    </w:p>
    <w:p w14:paraId="0673F055">
      <w:pPr>
        <w:shd w:val="clear"/>
        <w:rPr>
          <w:rFonts w:hint="eastAsia" w:ascii="仿宋" w:hAnsi="仿宋" w:eastAsia="仿宋" w:cs="仿宋"/>
          <w:color w:val="auto"/>
          <w:sz w:val="24"/>
          <w:szCs w:val="24"/>
          <w:highlight w:val="none"/>
        </w:rPr>
      </w:pPr>
    </w:p>
    <w:p w14:paraId="0D518249">
      <w:pPr>
        <w:shd w:val="clear"/>
        <w:ind w:firstLine="420"/>
        <w:rPr>
          <w:rFonts w:hint="eastAsia" w:ascii="仿宋" w:hAnsi="仿宋" w:eastAsia="仿宋" w:cs="仿宋"/>
          <w:color w:val="auto"/>
          <w:sz w:val="24"/>
          <w:szCs w:val="24"/>
          <w:highlight w:val="none"/>
        </w:rPr>
      </w:pPr>
    </w:p>
    <w:p w14:paraId="29DBD795">
      <w:pPr>
        <w:shd w:val="clear"/>
        <w:ind w:firstLine="420"/>
        <w:rPr>
          <w:rFonts w:hint="eastAsia" w:ascii="仿宋" w:hAnsi="仿宋" w:eastAsia="仿宋" w:cs="仿宋"/>
          <w:color w:val="auto"/>
          <w:sz w:val="24"/>
          <w:szCs w:val="24"/>
          <w:highlight w:val="none"/>
        </w:rPr>
      </w:pPr>
    </w:p>
    <w:p w14:paraId="06CC988B">
      <w:pPr>
        <w:shd w:val="clear"/>
        <w:ind w:firstLine="420"/>
        <w:rPr>
          <w:rFonts w:hint="eastAsia" w:ascii="仿宋" w:hAnsi="仿宋" w:eastAsia="仿宋" w:cs="仿宋"/>
          <w:color w:val="auto"/>
          <w:sz w:val="24"/>
          <w:szCs w:val="24"/>
          <w:highlight w:val="none"/>
        </w:rPr>
      </w:pPr>
    </w:p>
    <w:p w14:paraId="3CC12D8C">
      <w:pPr>
        <w:shd w:val="clear"/>
        <w:ind w:firstLine="420"/>
        <w:rPr>
          <w:rFonts w:hint="eastAsia" w:ascii="仿宋" w:hAnsi="仿宋" w:eastAsia="仿宋" w:cs="仿宋"/>
          <w:color w:val="auto"/>
          <w:sz w:val="24"/>
          <w:szCs w:val="24"/>
          <w:highlight w:val="none"/>
        </w:rPr>
      </w:pPr>
    </w:p>
    <w:p w14:paraId="26D24C5F">
      <w:pPr>
        <w:shd w:val="clear"/>
        <w:ind w:firstLine="420"/>
        <w:rPr>
          <w:rFonts w:hint="eastAsia" w:ascii="仿宋" w:hAnsi="仿宋" w:eastAsia="仿宋" w:cs="仿宋"/>
          <w:color w:val="auto"/>
          <w:sz w:val="24"/>
          <w:szCs w:val="24"/>
          <w:highlight w:val="none"/>
        </w:rPr>
      </w:pPr>
    </w:p>
    <w:p w14:paraId="552E586A">
      <w:pPr>
        <w:shd w:val="clear"/>
        <w:ind w:firstLine="420"/>
        <w:rPr>
          <w:rFonts w:hint="eastAsia" w:ascii="仿宋" w:hAnsi="仿宋" w:eastAsia="仿宋" w:cs="仿宋"/>
          <w:color w:val="auto"/>
          <w:sz w:val="24"/>
          <w:szCs w:val="24"/>
          <w:highlight w:val="none"/>
        </w:rPr>
      </w:pPr>
    </w:p>
    <w:p w14:paraId="66AF8795">
      <w:pPr>
        <w:shd w:val="clear"/>
        <w:ind w:firstLine="420"/>
        <w:rPr>
          <w:rFonts w:hint="eastAsia" w:ascii="仿宋" w:hAnsi="仿宋" w:eastAsia="仿宋" w:cs="仿宋"/>
          <w:color w:val="auto"/>
          <w:sz w:val="24"/>
          <w:szCs w:val="24"/>
          <w:highlight w:val="none"/>
        </w:rPr>
      </w:pPr>
    </w:p>
    <w:p w14:paraId="5BDA928C">
      <w:pPr>
        <w:shd w:val="clear"/>
        <w:ind w:firstLine="420"/>
        <w:rPr>
          <w:rFonts w:hint="eastAsia" w:ascii="仿宋" w:hAnsi="仿宋" w:eastAsia="仿宋" w:cs="仿宋"/>
          <w:color w:val="auto"/>
          <w:sz w:val="24"/>
          <w:szCs w:val="24"/>
          <w:highlight w:val="none"/>
        </w:rPr>
      </w:pPr>
    </w:p>
    <w:p w14:paraId="3E504967">
      <w:pPr>
        <w:shd w:val="clear"/>
        <w:ind w:firstLine="420"/>
        <w:rPr>
          <w:rFonts w:hint="eastAsia" w:ascii="仿宋" w:hAnsi="仿宋" w:eastAsia="仿宋" w:cs="仿宋"/>
          <w:color w:val="auto"/>
          <w:sz w:val="24"/>
          <w:szCs w:val="24"/>
          <w:highlight w:val="none"/>
        </w:rPr>
      </w:pPr>
    </w:p>
    <w:p w14:paraId="036BEB45">
      <w:pPr>
        <w:shd w:val="clear"/>
        <w:ind w:firstLine="420"/>
        <w:rPr>
          <w:rFonts w:hint="eastAsia" w:ascii="仿宋" w:hAnsi="仿宋" w:eastAsia="仿宋" w:cs="仿宋"/>
          <w:color w:val="auto"/>
          <w:sz w:val="24"/>
          <w:szCs w:val="24"/>
          <w:highlight w:val="none"/>
        </w:rPr>
      </w:pPr>
    </w:p>
    <w:p w14:paraId="44AF5EE5">
      <w:pPr>
        <w:shd w:val="clear"/>
        <w:ind w:firstLine="420"/>
        <w:rPr>
          <w:rFonts w:hint="eastAsia" w:ascii="仿宋" w:hAnsi="仿宋" w:eastAsia="仿宋" w:cs="仿宋"/>
          <w:color w:val="auto"/>
          <w:sz w:val="24"/>
          <w:szCs w:val="24"/>
          <w:highlight w:val="none"/>
        </w:rPr>
      </w:pPr>
    </w:p>
    <w:p w14:paraId="5B6109AB">
      <w:pPr>
        <w:shd w:val="clear"/>
        <w:ind w:firstLine="420"/>
        <w:rPr>
          <w:rFonts w:hint="eastAsia" w:ascii="仿宋" w:hAnsi="仿宋" w:eastAsia="仿宋" w:cs="仿宋"/>
          <w:color w:val="auto"/>
          <w:sz w:val="24"/>
          <w:szCs w:val="24"/>
          <w:highlight w:val="none"/>
        </w:rPr>
      </w:pPr>
    </w:p>
    <w:p w14:paraId="622CC855">
      <w:pPr>
        <w:shd w:val="clear"/>
        <w:ind w:firstLine="420"/>
        <w:rPr>
          <w:rFonts w:hint="eastAsia" w:ascii="仿宋" w:hAnsi="仿宋" w:eastAsia="仿宋" w:cs="仿宋"/>
          <w:color w:val="auto"/>
          <w:sz w:val="24"/>
          <w:szCs w:val="24"/>
          <w:highlight w:val="none"/>
        </w:rPr>
      </w:pPr>
    </w:p>
    <w:p w14:paraId="5A281694">
      <w:pPr>
        <w:shd w:val="clear"/>
        <w:ind w:firstLine="420"/>
        <w:rPr>
          <w:rFonts w:hint="eastAsia" w:ascii="仿宋" w:hAnsi="仿宋" w:eastAsia="仿宋" w:cs="仿宋"/>
          <w:color w:val="auto"/>
          <w:sz w:val="24"/>
          <w:szCs w:val="24"/>
          <w:highlight w:val="none"/>
        </w:rPr>
      </w:pPr>
    </w:p>
    <w:p w14:paraId="6CC3BE2C">
      <w:pPr>
        <w:shd w:val="clear"/>
        <w:ind w:firstLine="420"/>
        <w:rPr>
          <w:rFonts w:hint="eastAsia" w:ascii="仿宋" w:hAnsi="仿宋" w:eastAsia="仿宋" w:cs="仿宋"/>
          <w:color w:val="auto"/>
          <w:sz w:val="24"/>
          <w:szCs w:val="24"/>
          <w:highlight w:val="none"/>
        </w:rPr>
      </w:pPr>
    </w:p>
    <w:p w14:paraId="57D3F7CC">
      <w:pPr>
        <w:shd w:val="clear"/>
        <w:rPr>
          <w:rFonts w:hint="eastAsia" w:ascii="仿宋" w:hAnsi="仿宋" w:eastAsia="仿宋" w:cs="仿宋"/>
          <w:color w:val="auto"/>
          <w:highlight w:val="none"/>
        </w:rPr>
      </w:pPr>
      <w:bookmarkStart w:id="637" w:name="_Toc14046"/>
      <w:r>
        <w:rPr>
          <w:rFonts w:hint="eastAsia" w:ascii="仿宋" w:hAnsi="仿宋" w:eastAsia="仿宋" w:cs="仿宋"/>
          <w:color w:val="auto"/>
          <w:highlight w:val="none"/>
        </w:rPr>
        <w:br w:type="page"/>
      </w:r>
    </w:p>
    <w:p w14:paraId="22EE3B40">
      <w:pPr>
        <w:pStyle w:val="10"/>
        <w:shd w:val="clear"/>
        <w:rPr>
          <w:rFonts w:hint="eastAsia" w:ascii="仿宋" w:hAnsi="仿宋" w:eastAsia="仿宋" w:cs="仿宋"/>
          <w:color w:val="auto"/>
          <w:highlight w:val="none"/>
        </w:rPr>
      </w:pPr>
    </w:p>
    <w:bookmarkEnd w:id="637"/>
    <w:p w14:paraId="1EEA47B3">
      <w:pPr>
        <w:keepNext/>
        <w:keepLines/>
        <w:shd w:val="clear"/>
        <w:spacing w:before="60" w:after="60" w:line="500" w:lineRule="exact"/>
        <w:ind w:firstLine="560"/>
        <w:outlineLvl w:val="2"/>
        <w:rPr>
          <w:rFonts w:hint="eastAsia" w:ascii="仿宋" w:hAnsi="仿宋" w:eastAsia="仿宋" w:cs="仿宋"/>
          <w:b/>
          <w:color w:val="auto"/>
          <w:sz w:val="24"/>
          <w:szCs w:val="24"/>
          <w:highlight w:val="none"/>
        </w:rPr>
      </w:pPr>
      <w:bookmarkStart w:id="638" w:name="_Toc391301874"/>
      <w:bookmarkStart w:id="639" w:name="_Toc383636415"/>
      <w:bookmarkStart w:id="640" w:name="_Toc527634725"/>
      <w:bookmarkStart w:id="641" w:name="_Toc6774"/>
      <w:bookmarkStart w:id="642" w:name="_Toc406162620"/>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、法定代表人身份证明书</w:t>
      </w:r>
      <w:bookmarkEnd w:id="638"/>
      <w:bookmarkEnd w:id="639"/>
      <w:bookmarkEnd w:id="640"/>
      <w:bookmarkEnd w:id="641"/>
      <w:bookmarkEnd w:id="642"/>
    </w:p>
    <w:p w14:paraId="4CC26758">
      <w:pPr>
        <w:shd w:val="clear"/>
        <w:spacing w:line="420" w:lineRule="exact"/>
        <w:ind w:firstLine="420"/>
        <w:rPr>
          <w:rFonts w:hint="eastAsia" w:ascii="仿宋" w:hAnsi="仿宋" w:eastAsia="仿宋" w:cs="仿宋"/>
          <w:color w:val="auto"/>
          <w:sz w:val="24"/>
          <w:szCs w:val="24"/>
          <w:highlight w:val="none"/>
        </w:rPr>
      </w:pPr>
    </w:p>
    <w:p w14:paraId="0154E6C9">
      <w:pPr>
        <w:shd w:val="clear"/>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lang w:val="en-US" w:eastAsia="zh-CN"/>
        </w:rPr>
        <w:t xml:space="preserve">                          </w:t>
      </w:r>
    </w:p>
    <w:p w14:paraId="70543C40">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lang w:val="en-US" w:eastAsia="zh-CN"/>
        </w:rPr>
        <w:t xml:space="preserve">                          </w:t>
      </w:r>
    </w:p>
    <w:p w14:paraId="648E42FD">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注册资金：</w:t>
      </w:r>
      <w:r>
        <w:rPr>
          <w:rFonts w:hint="eastAsia" w:ascii="仿宋" w:hAnsi="仿宋" w:eastAsia="仿宋" w:cs="仿宋"/>
          <w:color w:val="auto"/>
          <w:sz w:val="24"/>
          <w:szCs w:val="24"/>
          <w:highlight w:val="none"/>
          <w:u w:val="single"/>
          <w:lang w:val="en-US" w:eastAsia="zh-CN"/>
        </w:rPr>
        <w:t xml:space="preserve">                          </w:t>
      </w:r>
    </w:p>
    <w:p w14:paraId="7A15BE32">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lang w:val="en-US" w:eastAsia="zh-CN"/>
        </w:rPr>
        <w:t xml:space="preserve">                          </w:t>
      </w:r>
    </w:p>
    <w:p w14:paraId="23C5C4C3">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lang w:val="en-US" w:eastAsia="zh-CN"/>
        </w:rPr>
        <w:t xml:space="preserve">                          </w:t>
      </w:r>
    </w:p>
    <w:p w14:paraId="5DF47B19">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lang w:val="en-US" w:eastAsia="zh-CN"/>
        </w:rPr>
        <w:t xml:space="preserve">                          </w:t>
      </w:r>
    </w:p>
    <w:p w14:paraId="491231F8">
      <w:pPr>
        <w:shd w:val="clea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lang w:val="en-US" w:eastAsia="zh-CN"/>
        </w:rPr>
        <w:t xml:space="preserve">        </w:t>
      </w:r>
    </w:p>
    <w:p w14:paraId="65B06C1E">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的法定代表人</w:t>
      </w:r>
    </w:p>
    <w:p w14:paraId="2034B5C7">
      <w:pPr>
        <w:shd w:val="clear"/>
        <w:spacing w:line="360" w:lineRule="auto"/>
        <w:rPr>
          <w:rFonts w:hint="eastAsia" w:ascii="仿宋" w:hAnsi="仿宋" w:eastAsia="仿宋" w:cs="仿宋"/>
          <w:color w:val="auto"/>
          <w:sz w:val="24"/>
          <w:szCs w:val="24"/>
          <w:highlight w:val="none"/>
        </w:rPr>
      </w:pPr>
    </w:p>
    <w:p w14:paraId="78E76BF5">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5B7E00D5">
      <w:pPr>
        <w:shd w:val="clear"/>
        <w:spacing w:line="360" w:lineRule="auto"/>
        <w:rPr>
          <w:rFonts w:hint="eastAsia" w:ascii="仿宋" w:hAnsi="仿宋" w:eastAsia="仿宋" w:cs="仿宋"/>
          <w:color w:val="auto"/>
          <w:sz w:val="24"/>
          <w:szCs w:val="24"/>
          <w:highlight w:val="none"/>
        </w:rPr>
      </w:pPr>
    </w:p>
    <w:p w14:paraId="066D171A">
      <w:pPr>
        <w:shd w:val="clear"/>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648E49A3">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64779C3C">
      <w:pPr>
        <w:shd w:val="clear"/>
        <w:spacing w:line="420" w:lineRule="exact"/>
        <w:rPr>
          <w:rFonts w:hint="eastAsia" w:ascii="仿宋" w:hAnsi="仿宋" w:eastAsia="仿宋" w:cs="仿宋"/>
          <w:color w:val="auto"/>
          <w:sz w:val="24"/>
          <w:szCs w:val="24"/>
          <w:highlight w:val="none"/>
        </w:rPr>
      </w:pPr>
    </w:p>
    <w:p w14:paraId="54B9B013">
      <w:pPr>
        <w:shd w:val="clear"/>
        <w:spacing w:line="420" w:lineRule="exact"/>
        <w:rPr>
          <w:rFonts w:hint="eastAsia" w:ascii="仿宋" w:hAnsi="仿宋" w:eastAsia="仿宋" w:cs="仿宋"/>
          <w:color w:val="auto"/>
          <w:sz w:val="24"/>
          <w:szCs w:val="24"/>
          <w:highlight w:val="none"/>
        </w:rPr>
      </w:pPr>
    </w:p>
    <w:p w14:paraId="56D0CB92">
      <w:pPr>
        <w:shd w:val="clear"/>
        <w:spacing w:line="420" w:lineRule="exact"/>
        <w:rPr>
          <w:rFonts w:hint="eastAsia" w:ascii="仿宋" w:hAnsi="仿宋" w:eastAsia="仿宋" w:cs="仿宋"/>
          <w:color w:val="auto"/>
          <w:sz w:val="24"/>
          <w:szCs w:val="24"/>
          <w:highlight w:val="none"/>
        </w:rPr>
      </w:pPr>
    </w:p>
    <w:p w14:paraId="598F163C">
      <w:pPr>
        <w:shd w:val="clear"/>
        <w:spacing w:line="420" w:lineRule="exact"/>
        <w:jc w:val="center"/>
        <w:rPr>
          <w:rFonts w:hint="eastAsia" w:ascii="仿宋" w:hAnsi="仿宋" w:eastAsia="仿宋" w:cs="仿宋"/>
          <w:b/>
          <w:color w:val="auto"/>
          <w:sz w:val="24"/>
          <w:szCs w:val="24"/>
          <w:highlight w:val="none"/>
        </w:rPr>
      </w:pPr>
    </w:p>
    <w:p w14:paraId="383F2EF2">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法定代表人有效的身份证</w:t>
      </w:r>
      <w:r>
        <w:rPr>
          <w:rFonts w:hint="eastAsia" w:ascii="仿宋" w:hAnsi="仿宋" w:eastAsia="仿宋" w:cs="仿宋"/>
          <w:b/>
          <w:color w:val="auto"/>
          <w:sz w:val="24"/>
          <w:szCs w:val="24"/>
          <w:highlight w:val="none"/>
          <w:lang w:eastAsia="zh-CN"/>
        </w:rPr>
        <w:t>扫描件</w:t>
      </w:r>
    </w:p>
    <w:p w14:paraId="2ABACBE7">
      <w:pPr>
        <w:shd w:val="clear"/>
        <w:spacing w:line="420" w:lineRule="exact"/>
        <w:jc w:val="center"/>
        <w:rPr>
          <w:rFonts w:hint="eastAsia" w:ascii="仿宋" w:hAnsi="仿宋" w:eastAsia="仿宋" w:cs="仿宋"/>
          <w:color w:val="auto"/>
          <w:sz w:val="24"/>
          <w:szCs w:val="24"/>
          <w:highlight w:val="none"/>
        </w:rPr>
      </w:pPr>
    </w:p>
    <w:p w14:paraId="46927CCE">
      <w:pPr>
        <w:shd w:val="clear"/>
        <w:spacing w:line="420" w:lineRule="exact"/>
        <w:rPr>
          <w:rFonts w:hint="eastAsia" w:ascii="仿宋" w:hAnsi="仿宋" w:eastAsia="仿宋" w:cs="仿宋"/>
          <w:color w:val="auto"/>
          <w:sz w:val="24"/>
          <w:szCs w:val="24"/>
          <w:highlight w:val="none"/>
        </w:rPr>
      </w:pPr>
    </w:p>
    <w:p w14:paraId="3FFE1705">
      <w:pPr>
        <w:shd w:val="clear"/>
        <w:spacing w:line="420" w:lineRule="exact"/>
        <w:rPr>
          <w:rFonts w:hint="eastAsia" w:ascii="仿宋" w:hAnsi="仿宋" w:eastAsia="仿宋" w:cs="仿宋"/>
          <w:color w:val="auto"/>
          <w:sz w:val="24"/>
          <w:szCs w:val="24"/>
          <w:highlight w:val="none"/>
        </w:rPr>
      </w:pPr>
    </w:p>
    <w:p w14:paraId="4ABA919D">
      <w:pPr>
        <w:shd w:val="clear"/>
        <w:spacing w:line="420" w:lineRule="exact"/>
        <w:rPr>
          <w:rFonts w:hint="eastAsia" w:ascii="仿宋" w:hAnsi="仿宋" w:eastAsia="仿宋" w:cs="仿宋"/>
          <w:color w:val="auto"/>
          <w:sz w:val="24"/>
          <w:szCs w:val="24"/>
          <w:highlight w:val="none"/>
        </w:rPr>
      </w:pPr>
    </w:p>
    <w:p w14:paraId="6395834E">
      <w:pPr>
        <w:shd w:val="clear"/>
        <w:spacing w:line="420" w:lineRule="exact"/>
        <w:rPr>
          <w:rFonts w:hint="eastAsia" w:ascii="仿宋" w:hAnsi="仿宋" w:eastAsia="仿宋" w:cs="仿宋"/>
          <w:color w:val="auto"/>
          <w:sz w:val="24"/>
          <w:szCs w:val="24"/>
          <w:highlight w:val="none"/>
        </w:rPr>
      </w:pPr>
    </w:p>
    <w:p w14:paraId="3913263A">
      <w:pPr>
        <w:shd w:val="clear"/>
        <w:spacing w:line="420" w:lineRule="exact"/>
        <w:rPr>
          <w:rFonts w:hint="eastAsia" w:ascii="仿宋" w:hAnsi="仿宋" w:eastAsia="仿宋" w:cs="仿宋"/>
          <w:color w:val="auto"/>
          <w:sz w:val="24"/>
          <w:szCs w:val="24"/>
          <w:highlight w:val="none"/>
        </w:rPr>
      </w:pPr>
    </w:p>
    <w:p w14:paraId="053121E6">
      <w:pPr>
        <w:shd w:val="clear"/>
        <w:spacing w:line="420" w:lineRule="exact"/>
        <w:rPr>
          <w:rFonts w:hint="eastAsia" w:ascii="仿宋" w:hAnsi="仿宋" w:eastAsia="仿宋" w:cs="仿宋"/>
          <w:color w:val="auto"/>
          <w:sz w:val="24"/>
          <w:szCs w:val="24"/>
          <w:highlight w:val="none"/>
        </w:rPr>
      </w:pPr>
    </w:p>
    <w:p w14:paraId="5BBBDC97">
      <w:pPr>
        <w:shd w:val="clear"/>
        <w:spacing w:line="420" w:lineRule="exact"/>
        <w:rPr>
          <w:rFonts w:hint="eastAsia" w:ascii="仿宋" w:hAnsi="仿宋" w:eastAsia="仿宋" w:cs="仿宋"/>
          <w:color w:val="auto"/>
          <w:sz w:val="24"/>
          <w:szCs w:val="24"/>
          <w:highlight w:val="none"/>
        </w:rPr>
      </w:pPr>
    </w:p>
    <w:p w14:paraId="6AAFA7EE">
      <w:pPr>
        <w:keepNext/>
        <w:keepLines/>
        <w:shd w:val="clear"/>
        <w:spacing w:before="60" w:after="60" w:line="500" w:lineRule="exact"/>
        <w:ind w:firstLine="510"/>
        <w:outlineLvl w:val="2"/>
        <w:rPr>
          <w:rFonts w:hint="eastAsia" w:ascii="仿宋" w:hAnsi="仿宋" w:eastAsia="仿宋" w:cs="仿宋"/>
          <w:b/>
          <w:color w:val="auto"/>
          <w:sz w:val="24"/>
          <w:szCs w:val="24"/>
          <w:highlight w:val="none"/>
        </w:rPr>
      </w:pPr>
      <w:bookmarkStart w:id="643" w:name="_Toc2977"/>
      <w:bookmarkStart w:id="644" w:name="_Toc430214793"/>
      <w:bookmarkStart w:id="645" w:name="_Toc527634726"/>
      <w:bookmarkStart w:id="646" w:name="_Toc406162622"/>
      <w:bookmarkStart w:id="647" w:name="_Toc383636418"/>
      <w:bookmarkStart w:id="648" w:name="_Toc39130187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、法定代表人授权委托书（授权代表是法定代表人时，不必提供）</w:t>
      </w:r>
      <w:bookmarkEnd w:id="643"/>
      <w:bookmarkEnd w:id="644"/>
      <w:bookmarkEnd w:id="645"/>
    </w:p>
    <w:p w14:paraId="56717FBB">
      <w:pPr>
        <w:shd w:val="clear"/>
        <w:spacing w:line="420" w:lineRule="exact"/>
        <w:ind w:firstLine="540" w:firstLineChars="225"/>
        <w:rPr>
          <w:rFonts w:hint="eastAsia" w:ascii="仿宋" w:hAnsi="仿宋" w:eastAsia="仿宋" w:cs="仿宋"/>
          <w:color w:val="auto"/>
          <w:sz w:val="24"/>
          <w:szCs w:val="24"/>
          <w:highlight w:val="none"/>
        </w:rPr>
      </w:pPr>
    </w:p>
    <w:p w14:paraId="432E79BF">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为我公司代理人，以公司名义参加</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rPr>
        <w:t>的投标活动。代理人在开标、评标及合同谈判过程中所签署的一切文件和处理与之有关的一切事务，我均予承认。</w:t>
      </w:r>
    </w:p>
    <w:p w14:paraId="74A10522">
      <w:pPr>
        <w:shd w:val="clear"/>
        <w:spacing w:line="360" w:lineRule="auto"/>
        <w:ind w:firstLine="480" w:firstLineChars="200"/>
        <w:rPr>
          <w:rFonts w:hint="eastAsia" w:ascii="仿宋" w:hAnsi="仿宋" w:eastAsia="仿宋" w:cs="仿宋"/>
          <w:color w:val="auto"/>
          <w:sz w:val="24"/>
          <w:szCs w:val="24"/>
          <w:highlight w:val="none"/>
        </w:rPr>
      </w:pPr>
    </w:p>
    <w:p w14:paraId="5C6BF5F0">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部门：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lang w:val="en-US" w:eastAsia="zh-CN"/>
        </w:rPr>
        <w:t xml:space="preserve">        </w:t>
      </w:r>
    </w:p>
    <w:p w14:paraId="76C677A6">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代理人无转委权。特此委托。</w:t>
      </w:r>
    </w:p>
    <w:p w14:paraId="359BF866">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75753CD2">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6CDEB89">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lang w:val="en-US" w:eastAsia="zh-CN"/>
        </w:rPr>
        <w:t>签章或</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66CD1888">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006D725D">
      <w:pPr>
        <w:shd w:val="clea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注：附授权委托代理人身份证</w:t>
      </w:r>
      <w:r>
        <w:rPr>
          <w:rFonts w:hint="eastAsia" w:ascii="仿宋" w:hAnsi="仿宋" w:eastAsia="仿宋" w:cs="仿宋"/>
          <w:b/>
          <w:color w:val="auto"/>
          <w:sz w:val="24"/>
          <w:szCs w:val="24"/>
          <w:highlight w:val="none"/>
          <w:lang w:eastAsia="zh-CN"/>
        </w:rPr>
        <w:t>扫描件</w:t>
      </w:r>
      <w:r>
        <w:rPr>
          <w:rFonts w:hint="eastAsia" w:ascii="仿宋" w:hAnsi="仿宋" w:eastAsia="仿宋" w:cs="仿宋"/>
          <w:b/>
          <w:color w:val="auto"/>
          <w:sz w:val="24"/>
          <w:szCs w:val="24"/>
          <w:highlight w:val="none"/>
        </w:rPr>
        <w:t>，如投标人由法定代表人亲自签署</w:t>
      </w:r>
      <w:r>
        <w:rPr>
          <w:rFonts w:hint="eastAsia" w:ascii="仿宋" w:hAnsi="仿宋" w:eastAsia="仿宋" w:cs="仿宋"/>
          <w:b/>
          <w:bCs/>
          <w:color w:val="auto"/>
          <w:sz w:val="24"/>
          <w:szCs w:val="24"/>
          <w:highlight w:val="none"/>
        </w:rPr>
        <w:t>投标文件</w:t>
      </w:r>
      <w:r>
        <w:rPr>
          <w:rFonts w:hint="eastAsia" w:ascii="仿宋" w:hAnsi="仿宋" w:eastAsia="仿宋" w:cs="仿宋"/>
          <w:b/>
          <w:color w:val="auto"/>
          <w:sz w:val="24"/>
          <w:szCs w:val="24"/>
          <w:highlight w:val="none"/>
        </w:rPr>
        <w:t>并参与相关活动，则不需要办理授权。如有被授权的代理人签署上述文件，则必须按本格式规定填报并提交授权书，否则被授权的代理人将不被认可。</w:t>
      </w:r>
    </w:p>
    <w:p w14:paraId="4C0863E4">
      <w:pPr>
        <w:shd w:val="clea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660400</wp:posOffset>
                </wp:positionH>
                <wp:positionV relativeFrom="paragraph">
                  <wp:posOffset>12065</wp:posOffset>
                </wp:positionV>
                <wp:extent cx="4229100" cy="2080260"/>
                <wp:effectExtent l="4445" t="4445" r="14605" b="10795"/>
                <wp:wrapNone/>
                <wp:docPr id="8" name="AutoShape 4"/>
                <wp:cNvGraphicFramePr/>
                <a:graphic xmlns:a="http://schemas.openxmlformats.org/drawingml/2006/main">
                  <a:graphicData uri="http://schemas.microsoft.com/office/word/2010/wordprocessingShape">
                    <wps:wsp>
                      <wps:cNvSpPr/>
                      <wps:spPr>
                        <a:xfrm>
                          <a:off x="0" y="0"/>
                          <a:ext cx="4229100" cy="20802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4" o:spid="_x0000_s1026" o:spt="2" style="position:absolute;left:0pt;margin-left:52pt;margin-top:0.95pt;height:163.8pt;width:333pt;z-index:-251657216;mso-width-relative:page;mso-height-relative:page;" fillcolor="#FFFFFF" filled="t" stroked="t" coordsize="21600,21600" arcsize="0.166666666666667" o:gfxdata="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UiW8NUAAAAJAQAADwAAAAAAAAABACAAAAAiAAAAZHJz&#10;L2Rvd25yZXYueG1sUEsBAhQAFAAAAAgAh07iQBRI1MsHAgAASQQAAA4AAAAAAAAAAQAgAAAAJAEA&#10;AGRycy9lMm9Eb2MueG1sUEsFBgAAAAAGAAYAWQEAAJ0FAAAAAA==&#10;">
                <v:fill on="t" focussize="0,0"/>
                <v:stroke color="#000000" joinstyle="round"/>
                <v:imagedata o:title=""/>
                <o:lock v:ext="edit" aspectratio="f"/>
              </v:roundrect>
            </w:pict>
          </mc:Fallback>
        </mc:AlternateContent>
      </w:r>
    </w:p>
    <w:p w14:paraId="0A7755E3">
      <w:pPr>
        <w:shd w:val="clear"/>
        <w:spacing w:line="440" w:lineRule="exact"/>
        <w:ind w:firstLine="482" w:firstLineChars="200"/>
        <w:rPr>
          <w:rFonts w:hint="eastAsia" w:ascii="仿宋" w:hAnsi="仿宋" w:eastAsia="仿宋" w:cs="仿宋"/>
          <w:b/>
          <w:color w:val="auto"/>
          <w:sz w:val="24"/>
          <w:szCs w:val="24"/>
          <w:highlight w:val="none"/>
        </w:rPr>
      </w:pPr>
    </w:p>
    <w:p w14:paraId="38DF11CE">
      <w:pPr>
        <w:shd w:val="clear"/>
        <w:spacing w:line="360" w:lineRule="auto"/>
        <w:ind w:firstLine="480"/>
        <w:rPr>
          <w:rFonts w:hint="eastAsia" w:ascii="仿宋" w:hAnsi="仿宋" w:eastAsia="仿宋" w:cs="仿宋"/>
          <w:b/>
          <w:color w:val="auto"/>
          <w:sz w:val="24"/>
          <w:szCs w:val="24"/>
          <w:highlight w:val="none"/>
        </w:rPr>
      </w:pPr>
    </w:p>
    <w:p w14:paraId="3DD7720D">
      <w:pPr>
        <w:shd w:val="clear"/>
        <w:spacing w:line="360" w:lineRule="auto"/>
        <w:ind w:firstLine="482"/>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委托代理人有效的身份证</w:t>
      </w:r>
      <w:r>
        <w:rPr>
          <w:rFonts w:hint="eastAsia" w:ascii="仿宋" w:hAnsi="仿宋" w:eastAsia="仿宋" w:cs="仿宋"/>
          <w:b/>
          <w:color w:val="auto"/>
          <w:sz w:val="24"/>
          <w:szCs w:val="24"/>
          <w:highlight w:val="none"/>
          <w:lang w:eastAsia="zh-CN"/>
        </w:rPr>
        <w:t>扫描件</w:t>
      </w:r>
    </w:p>
    <w:p w14:paraId="04D89D98">
      <w:pPr>
        <w:shd w:val="clear"/>
        <w:spacing w:line="360" w:lineRule="auto"/>
        <w:ind w:firstLine="482"/>
        <w:rPr>
          <w:rFonts w:hint="eastAsia" w:ascii="仿宋" w:hAnsi="仿宋" w:eastAsia="仿宋" w:cs="仿宋"/>
          <w:b/>
          <w:color w:val="auto"/>
          <w:sz w:val="24"/>
          <w:szCs w:val="24"/>
          <w:highlight w:val="none"/>
        </w:rPr>
      </w:pPr>
    </w:p>
    <w:p w14:paraId="5DAE1DAC">
      <w:pPr>
        <w:shd w:val="clear"/>
        <w:spacing w:line="360" w:lineRule="auto"/>
        <w:ind w:firstLine="482"/>
        <w:rPr>
          <w:rFonts w:hint="eastAsia" w:ascii="仿宋" w:hAnsi="仿宋" w:eastAsia="仿宋" w:cs="仿宋"/>
          <w:b/>
          <w:color w:val="auto"/>
          <w:sz w:val="24"/>
          <w:szCs w:val="24"/>
          <w:highlight w:val="none"/>
        </w:rPr>
      </w:pPr>
    </w:p>
    <w:p w14:paraId="779F3B89">
      <w:pPr>
        <w:shd w:val="clear"/>
        <w:spacing w:line="360" w:lineRule="auto"/>
        <w:ind w:firstLine="482"/>
        <w:rPr>
          <w:rFonts w:hint="eastAsia" w:ascii="仿宋" w:hAnsi="仿宋" w:eastAsia="仿宋" w:cs="仿宋"/>
          <w:b/>
          <w:color w:val="auto"/>
          <w:sz w:val="24"/>
          <w:szCs w:val="24"/>
          <w:highlight w:val="none"/>
        </w:rPr>
      </w:pPr>
    </w:p>
    <w:p w14:paraId="6F4E4724">
      <w:pPr>
        <w:shd w:val="clear"/>
        <w:spacing w:line="360" w:lineRule="auto"/>
        <w:ind w:firstLine="482"/>
        <w:rPr>
          <w:rFonts w:hint="eastAsia" w:ascii="仿宋" w:hAnsi="仿宋" w:eastAsia="仿宋" w:cs="仿宋"/>
          <w:b/>
          <w:color w:val="auto"/>
          <w:sz w:val="24"/>
          <w:szCs w:val="24"/>
          <w:highlight w:val="none"/>
        </w:rPr>
      </w:pPr>
    </w:p>
    <w:p w14:paraId="47034EEC">
      <w:pPr>
        <w:shd w:val="clear"/>
        <w:adjustRightInd w:val="0"/>
        <w:spacing w:line="440" w:lineRule="exact"/>
        <w:rPr>
          <w:rFonts w:hint="eastAsia" w:ascii="仿宋" w:hAnsi="仿宋" w:eastAsia="仿宋" w:cs="仿宋"/>
          <w:b/>
          <w:bCs/>
          <w:color w:val="auto"/>
          <w:sz w:val="24"/>
          <w:szCs w:val="24"/>
          <w:highlight w:val="none"/>
        </w:rPr>
      </w:pPr>
    </w:p>
    <w:p w14:paraId="342CB499">
      <w:pPr>
        <w:shd w:val="clear"/>
        <w:adjustRightInd w:val="0"/>
        <w:spacing w:line="440" w:lineRule="exact"/>
        <w:rPr>
          <w:rFonts w:hint="eastAsia" w:ascii="仿宋" w:hAnsi="仿宋" w:eastAsia="仿宋" w:cs="仿宋"/>
          <w:b/>
          <w:bCs/>
          <w:color w:val="auto"/>
          <w:sz w:val="24"/>
          <w:szCs w:val="24"/>
          <w:highlight w:val="none"/>
        </w:rPr>
      </w:pPr>
    </w:p>
    <w:p w14:paraId="4514AFCC">
      <w:pPr>
        <w:shd w:val="clear"/>
        <w:adjustRightInd w:val="0"/>
        <w:spacing w:line="440" w:lineRule="exact"/>
        <w:rPr>
          <w:rFonts w:hint="eastAsia" w:ascii="仿宋" w:hAnsi="仿宋" w:eastAsia="仿宋" w:cs="仿宋"/>
          <w:b/>
          <w:bCs/>
          <w:color w:val="auto"/>
          <w:sz w:val="24"/>
          <w:szCs w:val="24"/>
          <w:highlight w:val="none"/>
        </w:rPr>
      </w:pPr>
    </w:p>
    <w:p w14:paraId="614827EC">
      <w:pPr>
        <w:shd w:val="clear"/>
        <w:adjustRightInd w:val="0"/>
        <w:spacing w:line="440" w:lineRule="exact"/>
        <w:rPr>
          <w:rFonts w:hint="eastAsia" w:ascii="仿宋" w:hAnsi="仿宋" w:eastAsia="仿宋" w:cs="仿宋"/>
          <w:b/>
          <w:bCs/>
          <w:color w:val="auto"/>
          <w:sz w:val="24"/>
          <w:szCs w:val="24"/>
          <w:highlight w:val="none"/>
        </w:rPr>
      </w:pPr>
    </w:p>
    <w:bookmarkEnd w:id="646"/>
    <w:bookmarkEnd w:id="647"/>
    <w:bookmarkEnd w:id="648"/>
    <w:p w14:paraId="708ECF62">
      <w:pPr>
        <w:keepNext/>
        <w:keepLines/>
        <w:shd w:val="clear"/>
        <w:spacing w:before="60" w:after="60" w:line="500" w:lineRule="exact"/>
        <w:ind w:firstLine="510"/>
        <w:outlineLvl w:val="2"/>
        <w:rPr>
          <w:rFonts w:hint="eastAsia" w:ascii="仿宋" w:hAnsi="仿宋" w:eastAsia="仿宋" w:cs="仿宋"/>
          <w:b/>
          <w:color w:val="auto"/>
          <w:sz w:val="24"/>
          <w:szCs w:val="24"/>
          <w:highlight w:val="none"/>
        </w:rPr>
      </w:pPr>
      <w:bookmarkStart w:id="649" w:name="_Toc2711"/>
      <w:bookmarkStart w:id="650" w:name="_Toc24978"/>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具备参加政府采购活动条</w:t>
      </w:r>
      <w:r>
        <w:rPr>
          <w:rFonts w:hint="eastAsia" w:ascii="仿宋" w:hAnsi="仿宋" w:eastAsia="仿宋" w:cs="仿宋"/>
          <w:b/>
          <w:color w:val="auto"/>
          <w:sz w:val="24"/>
          <w:szCs w:val="24"/>
          <w:highlight w:val="none"/>
          <w:lang w:eastAsia="zh-CN"/>
        </w:rPr>
        <w:t>件的</w:t>
      </w:r>
      <w:r>
        <w:rPr>
          <w:rFonts w:hint="eastAsia" w:ascii="仿宋" w:hAnsi="仿宋" w:eastAsia="仿宋" w:cs="仿宋"/>
          <w:b/>
          <w:color w:val="auto"/>
          <w:sz w:val="24"/>
          <w:szCs w:val="24"/>
          <w:highlight w:val="none"/>
        </w:rPr>
        <w:t>承诺函</w:t>
      </w:r>
      <w:bookmarkEnd w:id="649"/>
      <w:bookmarkEnd w:id="650"/>
    </w:p>
    <w:p w14:paraId="03B599CB">
      <w:pPr>
        <w:spacing w:line="360" w:lineRule="auto"/>
        <w:ind w:firstLine="480" w:firstLineChars="200"/>
        <w:rPr>
          <w:rFonts w:hint="eastAsia" w:ascii="仿宋" w:hAnsi="仿宋" w:eastAsia="仿宋" w:cs="仿宋"/>
          <w:color w:val="auto"/>
          <w:sz w:val="24"/>
          <w:szCs w:val="24"/>
          <w:highlight w:val="none"/>
        </w:rPr>
      </w:pPr>
    </w:p>
    <w:p w14:paraId="3EAA2CB8">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w:t>
      </w:r>
    </w:p>
    <w:p w14:paraId="1A497D93">
      <w:pPr>
        <w:spacing w:line="360" w:lineRule="auto"/>
        <w:ind w:firstLine="480" w:firstLineChars="200"/>
        <w:rPr>
          <w:rFonts w:hint="eastAsia" w:ascii="仿宋" w:hAnsi="仿宋" w:eastAsia="仿宋" w:cs="仿宋"/>
          <w:color w:val="auto"/>
          <w:sz w:val="24"/>
          <w:szCs w:val="24"/>
          <w:highlight w:val="none"/>
        </w:rPr>
      </w:pPr>
    </w:p>
    <w:p w14:paraId="03E07FB7">
      <w:pPr>
        <w:spacing w:line="360" w:lineRule="auto"/>
        <w:jc w:val="center"/>
        <w:rPr>
          <w:rFonts w:hint="eastAsia" w:ascii="仿宋" w:hAnsi="仿宋" w:eastAsia="仿宋" w:cs="仿宋"/>
          <w:color w:val="auto"/>
          <w:sz w:val="24"/>
          <w:szCs w:val="24"/>
          <w:highlight w:val="none"/>
        </w:rPr>
      </w:pPr>
    </w:p>
    <w:p w14:paraId="58DCABFF">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（投标自行承诺及说明具备《中华人民共和国政府采购法》第二十二条规定的条件，内容自拟）</w:t>
      </w:r>
    </w:p>
    <w:p w14:paraId="55F91CA8">
      <w:pPr>
        <w:bidi w:val="0"/>
        <w:rPr>
          <w:rFonts w:hint="eastAsia" w:ascii="仿宋" w:hAnsi="仿宋" w:eastAsia="仿宋" w:cs="仿宋"/>
          <w:color w:val="auto"/>
          <w:highlight w:val="none"/>
        </w:rPr>
      </w:pPr>
    </w:p>
    <w:p w14:paraId="015F4DE4">
      <w:pPr>
        <w:pStyle w:val="13"/>
        <w:rPr>
          <w:rFonts w:hint="eastAsia" w:ascii="仿宋" w:hAnsi="仿宋" w:eastAsia="仿宋" w:cs="仿宋"/>
          <w:color w:val="auto"/>
          <w:highlight w:val="none"/>
        </w:rPr>
      </w:pPr>
    </w:p>
    <w:p w14:paraId="0DACAF8D">
      <w:pPr>
        <w:pStyle w:val="13"/>
        <w:rPr>
          <w:rFonts w:hint="eastAsia" w:ascii="仿宋" w:hAnsi="仿宋" w:eastAsia="仿宋" w:cs="仿宋"/>
          <w:color w:val="auto"/>
          <w:highlight w:val="none"/>
        </w:rPr>
      </w:pPr>
    </w:p>
    <w:p w14:paraId="233546A2">
      <w:pPr>
        <w:pStyle w:val="13"/>
        <w:rPr>
          <w:rFonts w:hint="eastAsia" w:ascii="仿宋" w:hAnsi="仿宋" w:eastAsia="仿宋" w:cs="仿宋"/>
          <w:color w:val="auto"/>
          <w:highlight w:val="none"/>
        </w:rPr>
      </w:pPr>
    </w:p>
    <w:p w14:paraId="6D50D9FB">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6B999869">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625EADF">
      <w:pPr>
        <w:pStyle w:val="13"/>
        <w:ind w:left="0" w:leftChars="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rPr>
        <w:t>日期：</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日</w:t>
      </w:r>
    </w:p>
    <w:p w14:paraId="01208CAD">
      <w:pPr>
        <w:pStyle w:val="13"/>
        <w:rPr>
          <w:rFonts w:hint="eastAsia" w:ascii="仿宋" w:hAnsi="仿宋" w:eastAsia="仿宋" w:cs="仿宋"/>
          <w:color w:val="auto"/>
          <w:highlight w:val="none"/>
        </w:rPr>
      </w:pPr>
    </w:p>
    <w:p w14:paraId="12C8B6D6">
      <w:pPr>
        <w:pStyle w:val="13"/>
        <w:rPr>
          <w:rFonts w:hint="eastAsia" w:ascii="仿宋" w:hAnsi="仿宋" w:eastAsia="仿宋" w:cs="仿宋"/>
          <w:color w:val="auto"/>
          <w:highlight w:val="none"/>
        </w:rPr>
        <w:sectPr>
          <w:pgSz w:w="11906" w:h="16838"/>
          <w:pgMar w:top="1134" w:right="1247" w:bottom="1134" w:left="1418" w:header="851" w:footer="992" w:gutter="0"/>
          <w:pgBorders>
            <w:top w:val="none" w:sz="0" w:space="0"/>
            <w:left w:val="none" w:sz="0" w:space="0"/>
            <w:bottom w:val="none" w:sz="0" w:space="0"/>
            <w:right w:val="none" w:sz="0" w:space="0"/>
          </w:pgBorders>
          <w:cols w:space="425" w:num="1"/>
          <w:docGrid w:linePitch="312" w:charSpace="0"/>
        </w:sectPr>
      </w:pPr>
    </w:p>
    <w:p w14:paraId="6C4A7818">
      <w:pPr>
        <w:pStyle w:val="4"/>
        <w:bidi w:val="0"/>
        <w:rPr>
          <w:rFonts w:hint="eastAsia" w:ascii="仿宋" w:hAnsi="仿宋" w:eastAsia="仿宋" w:cs="仿宋"/>
          <w:b/>
          <w:color w:val="auto"/>
          <w:kern w:val="2"/>
          <w:sz w:val="24"/>
          <w:szCs w:val="24"/>
          <w:highlight w:val="none"/>
          <w:lang w:val="en-US" w:eastAsia="zh-CN" w:bidi="ar-SA"/>
        </w:rPr>
      </w:pPr>
      <w:bookmarkStart w:id="651" w:name="_Toc22875"/>
      <w:r>
        <w:rPr>
          <w:rFonts w:hint="eastAsia" w:ascii="仿宋" w:hAnsi="仿宋" w:eastAsia="仿宋" w:cs="仿宋"/>
          <w:b/>
          <w:color w:val="auto"/>
          <w:kern w:val="2"/>
          <w:sz w:val="24"/>
          <w:szCs w:val="24"/>
          <w:highlight w:val="none"/>
          <w:lang w:val="en-US" w:eastAsia="zh-CN" w:bidi="ar-SA"/>
        </w:rPr>
        <w:t>格式10、分项报价明细表</w:t>
      </w:r>
      <w:bookmarkEnd w:id="651"/>
    </w:p>
    <w:p w14:paraId="46B30EA3">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960" w:firstLineChars="400"/>
        <w:textAlignment w:val="auto"/>
        <w:outlineLvl w:val="9"/>
        <w:rPr>
          <w:rFonts w:hint="eastAsia" w:ascii="仿宋" w:hAnsi="仿宋" w:eastAsia="仿宋" w:cs="仿宋"/>
          <w:color w:val="auto"/>
          <w:sz w:val="24"/>
          <w:highlight w:val="none"/>
        </w:rPr>
      </w:pPr>
    </w:p>
    <w:p w14:paraId="28B67652">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960" w:firstLineChars="4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szCs w:val="22"/>
          <w:highlight w:val="none"/>
          <w:lang w:eastAsia="zh-CN"/>
        </w:rPr>
        <w:t>永胜县中医医院中药饮片采购项目</w:t>
      </w:r>
    </w:p>
    <w:p w14:paraId="689D080A">
      <w:pPr>
        <w:pStyle w:val="14"/>
        <w:keepNext w:val="0"/>
        <w:keepLines w:val="0"/>
        <w:pageBreakBefore w:val="0"/>
        <w:widowControl w:val="0"/>
        <w:shd w:val="clear"/>
        <w:kinsoku/>
        <w:wordWrap/>
        <w:overflowPunct/>
        <w:topLinePunct w:val="0"/>
        <w:autoSpaceDE/>
        <w:autoSpaceDN/>
        <w:bidi w:val="0"/>
        <w:adjustRightInd/>
        <w:snapToGrid/>
        <w:ind w:left="-420" w:leftChars="-200" w:firstLine="1040" w:firstLineChars="400"/>
        <w:textAlignment w:val="auto"/>
        <w:outlineLvl w:val="9"/>
        <w:rPr>
          <w:rFonts w:hint="eastAsia" w:ascii="仿宋" w:hAnsi="仿宋" w:eastAsia="仿宋" w:cs="仿宋"/>
          <w:b/>
          <w:color w:val="auto"/>
          <w:sz w:val="24"/>
          <w:highlight w:val="none"/>
          <w:u w:val="single"/>
        </w:rPr>
      </w:pPr>
      <w:r>
        <w:rPr>
          <w:rFonts w:hint="eastAsia" w:ascii="仿宋" w:hAnsi="仿宋" w:eastAsia="仿宋" w:cs="仿宋"/>
          <w:color w:val="auto"/>
          <w:spacing w:val="10"/>
          <w:sz w:val="24"/>
          <w:highlight w:val="none"/>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LJZC2025-G1-00112-YNLB-0058</w:t>
      </w:r>
    </w:p>
    <w:tbl>
      <w:tblPr>
        <w:tblStyle w:val="23"/>
        <w:tblW w:w="131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17"/>
        <w:gridCol w:w="942"/>
        <w:gridCol w:w="848"/>
        <w:gridCol w:w="1500"/>
        <w:gridCol w:w="1590"/>
        <w:gridCol w:w="1590"/>
        <w:gridCol w:w="1259"/>
        <w:gridCol w:w="1039"/>
        <w:gridCol w:w="853"/>
      </w:tblGrid>
      <w:tr w14:paraId="346FA4E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190" w:type="dxa"/>
            <w:vAlign w:val="center"/>
          </w:tcPr>
          <w:p w14:paraId="2B8DE1AA">
            <w:pPr>
              <w:pStyle w:val="14"/>
              <w:shd w:val="clear" w:fill="FFFFFF" w:themeFill="background1"/>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序号</w:t>
            </w:r>
          </w:p>
        </w:tc>
        <w:tc>
          <w:tcPr>
            <w:tcW w:w="1190" w:type="dxa"/>
            <w:vAlign w:val="center"/>
          </w:tcPr>
          <w:p w14:paraId="78C35630">
            <w:pPr>
              <w:pStyle w:val="14"/>
              <w:shd w:val="clear" w:fill="FFFFFF" w:themeFill="background1"/>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产品名称</w:t>
            </w:r>
          </w:p>
        </w:tc>
        <w:tc>
          <w:tcPr>
            <w:tcW w:w="1117" w:type="dxa"/>
            <w:vAlign w:val="center"/>
          </w:tcPr>
          <w:p w14:paraId="20A0E4B4">
            <w:pPr>
              <w:shd w:val="clear" w:fill="FFFFFF" w:themeFill="background1"/>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规格、型号</w:t>
            </w:r>
          </w:p>
        </w:tc>
        <w:tc>
          <w:tcPr>
            <w:tcW w:w="942" w:type="dxa"/>
            <w:vAlign w:val="center"/>
          </w:tcPr>
          <w:p w14:paraId="70C8C81E">
            <w:pPr>
              <w:shd w:val="clear" w:fill="FFFFFF" w:themeFill="background1"/>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生产厂商名称</w:t>
            </w:r>
            <w:r>
              <w:rPr>
                <w:rFonts w:hint="eastAsia" w:ascii="仿宋" w:hAnsi="仿宋" w:eastAsia="仿宋" w:cs="仿宋"/>
                <w:bCs/>
                <w:color w:val="auto"/>
                <w:kern w:val="0"/>
                <w:sz w:val="24"/>
                <w:szCs w:val="24"/>
                <w:highlight w:val="none"/>
                <w:lang w:val="en-US" w:eastAsia="zh-CN"/>
              </w:rPr>
              <w:t>/品牌</w:t>
            </w:r>
          </w:p>
        </w:tc>
        <w:tc>
          <w:tcPr>
            <w:tcW w:w="848" w:type="dxa"/>
            <w:vAlign w:val="center"/>
          </w:tcPr>
          <w:p w14:paraId="77C1824C">
            <w:pPr>
              <w:shd w:val="clear" w:fill="FFFFFF" w:themeFill="background1"/>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计量单位</w:t>
            </w:r>
          </w:p>
        </w:tc>
        <w:tc>
          <w:tcPr>
            <w:tcW w:w="1500" w:type="dxa"/>
            <w:vAlign w:val="center"/>
          </w:tcPr>
          <w:p w14:paraId="0CC4CF11">
            <w:pPr>
              <w:shd w:val="clear" w:fill="FFFFFF" w:themeFill="background1"/>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采购预算单价</w:t>
            </w:r>
            <w:r>
              <w:rPr>
                <w:rFonts w:hint="eastAsia" w:ascii="仿宋" w:hAnsi="仿宋" w:eastAsia="仿宋" w:cs="仿宋"/>
                <w:bCs/>
                <w:color w:val="auto"/>
                <w:kern w:val="0"/>
                <w:sz w:val="24"/>
                <w:szCs w:val="24"/>
                <w:highlight w:val="none"/>
              </w:rPr>
              <w:t>（元）</w:t>
            </w:r>
          </w:p>
        </w:tc>
        <w:tc>
          <w:tcPr>
            <w:tcW w:w="1590" w:type="dxa"/>
            <w:vAlign w:val="center"/>
          </w:tcPr>
          <w:p w14:paraId="59FA942F">
            <w:pPr>
              <w:shd w:val="clear" w:fill="FFFFFF" w:themeFill="background1"/>
              <w:spacing w:line="440" w:lineRule="exact"/>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优惠（下浮%）</w:t>
            </w:r>
          </w:p>
        </w:tc>
        <w:tc>
          <w:tcPr>
            <w:tcW w:w="1590" w:type="dxa"/>
            <w:vAlign w:val="center"/>
          </w:tcPr>
          <w:p w14:paraId="1F7076EB">
            <w:pPr>
              <w:shd w:val="clear" w:fill="FFFFFF" w:themeFill="background1"/>
              <w:spacing w:line="440" w:lineRule="exact"/>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投标单价（元）</w:t>
            </w:r>
          </w:p>
        </w:tc>
        <w:tc>
          <w:tcPr>
            <w:tcW w:w="1259" w:type="dxa"/>
            <w:vAlign w:val="center"/>
          </w:tcPr>
          <w:p w14:paraId="0EF285CB">
            <w:pPr>
              <w:shd w:val="clear" w:fill="FFFFFF" w:themeFill="background1"/>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投标合计价（元）</w:t>
            </w:r>
          </w:p>
        </w:tc>
        <w:tc>
          <w:tcPr>
            <w:tcW w:w="1039" w:type="dxa"/>
            <w:vAlign w:val="center"/>
          </w:tcPr>
          <w:p w14:paraId="36C028D6">
            <w:pPr>
              <w:shd w:val="clear" w:fill="FFFFFF" w:themeFill="background1"/>
              <w:spacing w:line="440" w:lineRule="exact"/>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保质期</w:t>
            </w:r>
          </w:p>
        </w:tc>
        <w:tc>
          <w:tcPr>
            <w:tcW w:w="853" w:type="dxa"/>
            <w:vAlign w:val="center"/>
          </w:tcPr>
          <w:p w14:paraId="42AAE6C3">
            <w:pPr>
              <w:shd w:val="clear" w:fill="FFFFFF" w:themeFill="background1"/>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备注</w:t>
            </w:r>
          </w:p>
        </w:tc>
      </w:tr>
      <w:tr w14:paraId="0886C6F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0" w:type="dxa"/>
            <w:vAlign w:val="center"/>
          </w:tcPr>
          <w:p w14:paraId="44CAC689">
            <w:pPr>
              <w:shd w:val="clear" w:fill="FFFFFF" w:themeFill="background1"/>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190" w:type="dxa"/>
            <w:vAlign w:val="center"/>
          </w:tcPr>
          <w:p w14:paraId="6FD30077">
            <w:pPr>
              <w:shd w:val="clear" w:fill="FFFFFF" w:themeFill="background1"/>
              <w:jc w:val="center"/>
              <w:rPr>
                <w:rFonts w:hint="eastAsia" w:ascii="仿宋" w:hAnsi="仿宋" w:eastAsia="仿宋" w:cs="仿宋"/>
                <w:color w:val="auto"/>
                <w:sz w:val="24"/>
                <w:highlight w:val="none"/>
              </w:rPr>
            </w:pPr>
          </w:p>
        </w:tc>
        <w:tc>
          <w:tcPr>
            <w:tcW w:w="1117" w:type="dxa"/>
            <w:vAlign w:val="center"/>
          </w:tcPr>
          <w:p w14:paraId="33D466FC">
            <w:pPr>
              <w:pStyle w:val="14"/>
              <w:shd w:val="clear" w:fill="FFFFFF" w:themeFill="background1"/>
              <w:jc w:val="center"/>
              <w:rPr>
                <w:rFonts w:hint="eastAsia" w:ascii="仿宋" w:hAnsi="仿宋" w:eastAsia="仿宋" w:cs="仿宋"/>
                <w:color w:val="auto"/>
                <w:sz w:val="24"/>
                <w:highlight w:val="none"/>
              </w:rPr>
            </w:pPr>
          </w:p>
        </w:tc>
        <w:tc>
          <w:tcPr>
            <w:tcW w:w="942" w:type="dxa"/>
            <w:vAlign w:val="center"/>
          </w:tcPr>
          <w:p w14:paraId="724F0CBA">
            <w:pPr>
              <w:pStyle w:val="14"/>
              <w:shd w:val="clear" w:fill="FFFFFF" w:themeFill="background1"/>
              <w:jc w:val="center"/>
              <w:rPr>
                <w:rFonts w:hint="eastAsia" w:ascii="仿宋" w:hAnsi="仿宋" w:eastAsia="仿宋" w:cs="仿宋"/>
                <w:color w:val="auto"/>
                <w:sz w:val="24"/>
                <w:highlight w:val="none"/>
              </w:rPr>
            </w:pPr>
          </w:p>
        </w:tc>
        <w:tc>
          <w:tcPr>
            <w:tcW w:w="848" w:type="dxa"/>
            <w:vAlign w:val="top"/>
          </w:tcPr>
          <w:p w14:paraId="1A96DFA2">
            <w:pPr>
              <w:pStyle w:val="14"/>
              <w:shd w:val="clear" w:fill="FFFFFF" w:themeFill="background1"/>
              <w:jc w:val="center"/>
              <w:rPr>
                <w:rFonts w:hint="eastAsia" w:ascii="仿宋" w:hAnsi="仿宋" w:eastAsia="仿宋" w:cs="仿宋"/>
                <w:color w:val="auto"/>
                <w:sz w:val="24"/>
                <w:highlight w:val="none"/>
              </w:rPr>
            </w:pPr>
          </w:p>
        </w:tc>
        <w:tc>
          <w:tcPr>
            <w:tcW w:w="1500" w:type="dxa"/>
            <w:vAlign w:val="top"/>
          </w:tcPr>
          <w:p w14:paraId="7340E053">
            <w:pPr>
              <w:pStyle w:val="14"/>
              <w:shd w:val="clear" w:fill="FFFFFF" w:themeFill="background1"/>
              <w:jc w:val="center"/>
              <w:rPr>
                <w:rFonts w:hint="eastAsia" w:ascii="仿宋" w:hAnsi="仿宋" w:eastAsia="仿宋" w:cs="仿宋"/>
                <w:color w:val="auto"/>
                <w:sz w:val="24"/>
                <w:highlight w:val="none"/>
              </w:rPr>
            </w:pPr>
          </w:p>
        </w:tc>
        <w:tc>
          <w:tcPr>
            <w:tcW w:w="1590" w:type="dxa"/>
            <w:vAlign w:val="top"/>
          </w:tcPr>
          <w:p w14:paraId="0F543820">
            <w:pPr>
              <w:pStyle w:val="14"/>
              <w:shd w:val="clear" w:fill="FFFFFF" w:themeFill="background1"/>
              <w:jc w:val="center"/>
              <w:rPr>
                <w:rFonts w:hint="eastAsia" w:ascii="仿宋" w:hAnsi="仿宋" w:eastAsia="仿宋" w:cs="仿宋"/>
                <w:color w:val="auto"/>
                <w:sz w:val="24"/>
                <w:highlight w:val="none"/>
              </w:rPr>
            </w:pPr>
          </w:p>
        </w:tc>
        <w:tc>
          <w:tcPr>
            <w:tcW w:w="1590" w:type="dxa"/>
            <w:vAlign w:val="top"/>
          </w:tcPr>
          <w:p w14:paraId="57CC8DA3">
            <w:pPr>
              <w:pStyle w:val="14"/>
              <w:shd w:val="clear" w:fill="FFFFFF" w:themeFill="background1"/>
              <w:jc w:val="center"/>
              <w:rPr>
                <w:rFonts w:hint="eastAsia" w:ascii="仿宋" w:hAnsi="仿宋" w:eastAsia="仿宋" w:cs="仿宋"/>
                <w:color w:val="auto"/>
                <w:sz w:val="24"/>
                <w:highlight w:val="none"/>
              </w:rPr>
            </w:pPr>
          </w:p>
        </w:tc>
        <w:tc>
          <w:tcPr>
            <w:tcW w:w="1259" w:type="dxa"/>
            <w:vAlign w:val="top"/>
          </w:tcPr>
          <w:p w14:paraId="12546D9B">
            <w:pPr>
              <w:pStyle w:val="14"/>
              <w:shd w:val="clear" w:fill="FFFFFF" w:themeFill="background1"/>
              <w:jc w:val="center"/>
              <w:rPr>
                <w:rFonts w:hint="eastAsia" w:ascii="仿宋" w:hAnsi="仿宋" w:eastAsia="仿宋" w:cs="仿宋"/>
                <w:color w:val="auto"/>
                <w:sz w:val="24"/>
                <w:highlight w:val="none"/>
              </w:rPr>
            </w:pPr>
          </w:p>
        </w:tc>
        <w:tc>
          <w:tcPr>
            <w:tcW w:w="1039" w:type="dxa"/>
            <w:vAlign w:val="top"/>
          </w:tcPr>
          <w:p w14:paraId="59A3F23C">
            <w:pPr>
              <w:pStyle w:val="14"/>
              <w:shd w:val="clear" w:fill="FFFFFF" w:themeFill="background1"/>
              <w:jc w:val="center"/>
              <w:rPr>
                <w:rFonts w:hint="eastAsia" w:ascii="仿宋" w:hAnsi="仿宋" w:eastAsia="仿宋" w:cs="仿宋"/>
                <w:color w:val="auto"/>
                <w:sz w:val="24"/>
                <w:highlight w:val="none"/>
              </w:rPr>
            </w:pPr>
          </w:p>
        </w:tc>
        <w:tc>
          <w:tcPr>
            <w:tcW w:w="853" w:type="dxa"/>
            <w:vAlign w:val="top"/>
          </w:tcPr>
          <w:p w14:paraId="03C3A679">
            <w:pPr>
              <w:pStyle w:val="14"/>
              <w:shd w:val="clear" w:fill="FFFFFF" w:themeFill="background1"/>
              <w:jc w:val="center"/>
              <w:rPr>
                <w:rFonts w:hint="eastAsia" w:ascii="仿宋" w:hAnsi="仿宋" w:eastAsia="仿宋" w:cs="仿宋"/>
                <w:color w:val="auto"/>
                <w:sz w:val="24"/>
                <w:highlight w:val="none"/>
              </w:rPr>
            </w:pPr>
          </w:p>
        </w:tc>
      </w:tr>
      <w:tr w14:paraId="4664962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0" w:type="dxa"/>
            <w:vAlign w:val="center"/>
          </w:tcPr>
          <w:p w14:paraId="4644B690">
            <w:pPr>
              <w:shd w:val="clear" w:fill="FFFFFF" w:themeFill="background1"/>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90" w:type="dxa"/>
            <w:vAlign w:val="center"/>
          </w:tcPr>
          <w:p w14:paraId="181B9C4D">
            <w:pPr>
              <w:shd w:val="clear" w:fill="FFFFFF" w:themeFill="background1"/>
              <w:jc w:val="center"/>
              <w:rPr>
                <w:rFonts w:hint="eastAsia" w:ascii="仿宋" w:hAnsi="仿宋" w:eastAsia="仿宋" w:cs="仿宋"/>
                <w:color w:val="auto"/>
                <w:sz w:val="24"/>
                <w:highlight w:val="none"/>
              </w:rPr>
            </w:pPr>
          </w:p>
        </w:tc>
        <w:tc>
          <w:tcPr>
            <w:tcW w:w="1117" w:type="dxa"/>
            <w:vAlign w:val="center"/>
          </w:tcPr>
          <w:p w14:paraId="1A425B64">
            <w:pPr>
              <w:pStyle w:val="14"/>
              <w:shd w:val="clear" w:fill="FFFFFF" w:themeFill="background1"/>
              <w:jc w:val="center"/>
              <w:rPr>
                <w:rFonts w:hint="eastAsia" w:ascii="仿宋" w:hAnsi="仿宋" w:eastAsia="仿宋" w:cs="仿宋"/>
                <w:color w:val="auto"/>
                <w:sz w:val="24"/>
                <w:highlight w:val="none"/>
              </w:rPr>
            </w:pPr>
          </w:p>
        </w:tc>
        <w:tc>
          <w:tcPr>
            <w:tcW w:w="942" w:type="dxa"/>
            <w:vAlign w:val="center"/>
          </w:tcPr>
          <w:p w14:paraId="6F76ADC8">
            <w:pPr>
              <w:pStyle w:val="14"/>
              <w:shd w:val="clear" w:fill="FFFFFF" w:themeFill="background1"/>
              <w:jc w:val="center"/>
              <w:rPr>
                <w:rFonts w:hint="eastAsia" w:ascii="仿宋" w:hAnsi="仿宋" w:eastAsia="仿宋" w:cs="仿宋"/>
                <w:color w:val="auto"/>
                <w:sz w:val="24"/>
                <w:highlight w:val="none"/>
              </w:rPr>
            </w:pPr>
          </w:p>
        </w:tc>
        <w:tc>
          <w:tcPr>
            <w:tcW w:w="848" w:type="dxa"/>
            <w:vAlign w:val="top"/>
          </w:tcPr>
          <w:p w14:paraId="7B73F4A9">
            <w:pPr>
              <w:pStyle w:val="14"/>
              <w:shd w:val="clear" w:fill="FFFFFF" w:themeFill="background1"/>
              <w:jc w:val="center"/>
              <w:rPr>
                <w:rFonts w:hint="eastAsia" w:ascii="仿宋" w:hAnsi="仿宋" w:eastAsia="仿宋" w:cs="仿宋"/>
                <w:color w:val="auto"/>
                <w:sz w:val="24"/>
                <w:highlight w:val="none"/>
              </w:rPr>
            </w:pPr>
          </w:p>
        </w:tc>
        <w:tc>
          <w:tcPr>
            <w:tcW w:w="1500" w:type="dxa"/>
            <w:vAlign w:val="top"/>
          </w:tcPr>
          <w:p w14:paraId="3B9D078A">
            <w:pPr>
              <w:pStyle w:val="14"/>
              <w:shd w:val="clear" w:fill="FFFFFF" w:themeFill="background1"/>
              <w:jc w:val="center"/>
              <w:rPr>
                <w:rFonts w:hint="eastAsia" w:ascii="仿宋" w:hAnsi="仿宋" w:eastAsia="仿宋" w:cs="仿宋"/>
                <w:color w:val="auto"/>
                <w:sz w:val="24"/>
                <w:highlight w:val="none"/>
              </w:rPr>
            </w:pPr>
          </w:p>
        </w:tc>
        <w:tc>
          <w:tcPr>
            <w:tcW w:w="1590" w:type="dxa"/>
            <w:vAlign w:val="top"/>
          </w:tcPr>
          <w:p w14:paraId="03742D33">
            <w:pPr>
              <w:pStyle w:val="14"/>
              <w:shd w:val="clear" w:fill="FFFFFF" w:themeFill="background1"/>
              <w:jc w:val="center"/>
              <w:rPr>
                <w:rFonts w:hint="eastAsia" w:ascii="仿宋" w:hAnsi="仿宋" w:eastAsia="仿宋" w:cs="仿宋"/>
                <w:color w:val="auto"/>
                <w:sz w:val="24"/>
                <w:highlight w:val="none"/>
              </w:rPr>
            </w:pPr>
          </w:p>
        </w:tc>
        <w:tc>
          <w:tcPr>
            <w:tcW w:w="1590" w:type="dxa"/>
            <w:vAlign w:val="top"/>
          </w:tcPr>
          <w:p w14:paraId="7749EC07">
            <w:pPr>
              <w:pStyle w:val="14"/>
              <w:shd w:val="clear" w:fill="FFFFFF" w:themeFill="background1"/>
              <w:jc w:val="center"/>
              <w:rPr>
                <w:rFonts w:hint="eastAsia" w:ascii="仿宋" w:hAnsi="仿宋" w:eastAsia="仿宋" w:cs="仿宋"/>
                <w:color w:val="auto"/>
                <w:sz w:val="24"/>
                <w:highlight w:val="none"/>
              </w:rPr>
            </w:pPr>
          </w:p>
        </w:tc>
        <w:tc>
          <w:tcPr>
            <w:tcW w:w="1259" w:type="dxa"/>
            <w:vAlign w:val="top"/>
          </w:tcPr>
          <w:p w14:paraId="184CDA7E">
            <w:pPr>
              <w:pStyle w:val="14"/>
              <w:shd w:val="clear" w:fill="FFFFFF" w:themeFill="background1"/>
              <w:jc w:val="center"/>
              <w:rPr>
                <w:rFonts w:hint="eastAsia" w:ascii="仿宋" w:hAnsi="仿宋" w:eastAsia="仿宋" w:cs="仿宋"/>
                <w:color w:val="auto"/>
                <w:sz w:val="24"/>
                <w:highlight w:val="none"/>
              </w:rPr>
            </w:pPr>
          </w:p>
        </w:tc>
        <w:tc>
          <w:tcPr>
            <w:tcW w:w="1039" w:type="dxa"/>
            <w:vAlign w:val="top"/>
          </w:tcPr>
          <w:p w14:paraId="1881245B">
            <w:pPr>
              <w:pStyle w:val="14"/>
              <w:shd w:val="clear" w:fill="FFFFFF" w:themeFill="background1"/>
              <w:jc w:val="center"/>
              <w:rPr>
                <w:rFonts w:hint="eastAsia" w:ascii="仿宋" w:hAnsi="仿宋" w:eastAsia="仿宋" w:cs="仿宋"/>
                <w:color w:val="auto"/>
                <w:sz w:val="24"/>
                <w:highlight w:val="none"/>
              </w:rPr>
            </w:pPr>
          </w:p>
        </w:tc>
        <w:tc>
          <w:tcPr>
            <w:tcW w:w="853" w:type="dxa"/>
            <w:vAlign w:val="top"/>
          </w:tcPr>
          <w:p w14:paraId="473728DB">
            <w:pPr>
              <w:pStyle w:val="14"/>
              <w:shd w:val="clear" w:fill="FFFFFF" w:themeFill="background1"/>
              <w:jc w:val="center"/>
              <w:rPr>
                <w:rFonts w:hint="eastAsia" w:ascii="仿宋" w:hAnsi="仿宋" w:eastAsia="仿宋" w:cs="仿宋"/>
                <w:color w:val="auto"/>
                <w:sz w:val="24"/>
                <w:highlight w:val="none"/>
              </w:rPr>
            </w:pPr>
          </w:p>
        </w:tc>
      </w:tr>
      <w:tr w14:paraId="2052A1F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0" w:type="dxa"/>
            <w:vAlign w:val="center"/>
          </w:tcPr>
          <w:p w14:paraId="295C2AF8">
            <w:pPr>
              <w:shd w:val="clear" w:fill="FFFFFF" w:themeFill="background1"/>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190" w:type="dxa"/>
            <w:vAlign w:val="center"/>
          </w:tcPr>
          <w:p w14:paraId="0A4FADDB">
            <w:pPr>
              <w:shd w:val="clear" w:fill="FFFFFF" w:themeFill="background1"/>
              <w:jc w:val="center"/>
              <w:rPr>
                <w:rFonts w:hint="eastAsia" w:ascii="仿宋" w:hAnsi="仿宋" w:eastAsia="仿宋" w:cs="仿宋"/>
                <w:color w:val="auto"/>
                <w:sz w:val="24"/>
                <w:highlight w:val="none"/>
              </w:rPr>
            </w:pPr>
          </w:p>
        </w:tc>
        <w:tc>
          <w:tcPr>
            <w:tcW w:w="1117" w:type="dxa"/>
            <w:vAlign w:val="center"/>
          </w:tcPr>
          <w:p w14:paraId="6460D729">
            <w:pPr>
              <w:pStyle w:val="14"/>
              <w:shd w:val="clear" w:fill="FFFFFF" w:themeFill="background1"/>
              <w:jc w:val="center"/>
              <w:rPr>
                <w:rFonts w:hint="eastAsia" w:ascii="仿宋" w:hAnsi="仿宋" w:eastAsia="仿宋" w:cs="仿宋"/>
                <w:color w:val="auto"/>
                <w:sz w:val="24"/>
                <w:highlight w:val="none"/>
              </w:rPr>
            </w:pPr>
          </w:p>
        </w:tc>
        <w:tc>
          <w:tcPr>
            <w:tcW w:w="942" w:type="dxa"/>
            <w:vAlign w:val="center"/>
          </w:tcPr>
          <w:p w14:paraId="7BE58354">
            <w:pPr>
              <w:pStyle w:val="14"/>
              <w:shd w:val="clear" w:fill="FFFFFF" w:themeFill="background1"/>
              <w:jc w:val="center"/>
              <w:rPr>
                <w:rFonts w:hint="eastAsia" w:ascii="仿宋" w:hAnsi="仿宋" w:eastAsia="仿宋" w:cs="仿宋"/>
                <w:color w:val="auto"/>
                <w:sz w:val="24"/>
                <w:highlight w:val="none"/>
              </w:rPr>
            </w:pPr>
          </w:p>
        </w:tc>
        <w:tc>
          <w:tcPr>
            <w:tcW w:w="848" w:type="dxa"/>
            <w:vAlign w:val="top"/>
          </w:tcPr>
          <w:p w14:paraId="68758C77">
            <w:pPr>
              <w:pStyle w:val="14"/>
              <w:shd w:val="clear" w:fill="FFFFFF" w:themeFill="background1"/>
              <w:jc w:val="center"/>
              <w:rPr>
                <w:rFonts w:hint="eastAsia" w:ascii="仿宋" w:hAnsi="仿宋" w:eastAsia="仿宋" w:cs="仿宋"/>
                <w:color w:val="auto"/>
                <w:sz w:val="24"/>
                <w:highlight w:val="none"/>
              </w:rPr>
            </w:pPr>
          </w:p>
        </w:tc>
        <w:tc>
          <w:tcPr>
            <w:tcW w:w="1500" w:type="dxa"/>
            <w:vAlign w:val="top"/>
          </w:tcPr>
          <w:p w14:paraId="63F11074">
            <w:pPr>
              <w:pStyle w:val="14"/>
              <w:shd w:val="clear" w:fill="FFFFFF" w:themeFill="background1"/>
              <w:jc w:val="center"/>
              <w:rPr>
                <w:rFonts w:hint="eastAsia" w:ascii="仿宋" w:hAnsi="仿宋" w:eastAsia="仿宋" w:cs="仿宋"/>
                <w:color w:val="auto"/>
                <w:sz w:val="24"/>
                <w:highlight w:val="none"/>
              </w:rPr>
            </w:pPr>
          </w:p>
        </w:tc>
        <w:tc>
          <w:tcPr>
            <w:tcW w:w="1590" w:type="dxa"/>
            <w:vAlign w:val="top"/>
          </w:tcPr>
          <w:p w14:paraId="775530F4">
            <w:pPr>
              <w:pStyle w:val="14"/>
              <w:shd w:val="clear" w:fill="FFFFFF" w:themeFill="background1"/>
              <w:jc w:val="center"/>
              <w:rPr>
                <w:rFonts w:hint="eastAsia" w:ascii="仿宋" w:hAnsi="仿宋" w:eastAsia="仿宋" w:cs="仿宋"/>
                <w:color w:val="auto"/>
                <w:sz w:val="24"/>
                <w:highlight w:val="none"/>
              </w:rPr>
            </w:pPr>
          </w:p>
        </w:tc>
        <w:tc>
          <w:tcPr>
            <w:tcW w:w="1590" w:type="dxa"/>
            <w:vAlign w:val="top"/>
          </w:tcPr>
          <w:p w14:paraId="4C77F238">
            <w:pPr>
              <w:pStyle w:val="14"/>
              <w:shd w:val="clear" w:fill="FFFFFF" w:themeFill="background1"/>
              <w:jc w:val="center"/>
              <w:rPr>
                <w:rFonts w:hint="eastAsia" w:ascii="仿宋" w:hAnsi="仿宋" w:eastAsia="仿宋" w:cs="仿宋"/>
                <w:color w:val="auto"/>
                <w:sz w:val="24"/>
                <w:highlight w:val="none"/>
              </w:rPr>
            </w:pPr>
          </w:p>
        </w:tc>
        <w:tc>
          <w:tcPr>
            <w:tcW w:w="1259" w:type="dxa"/>
            <w:vAlign w:val="top"/>
          </w:tcPr>
          <w:p w14:paraId="76553E4F">
            <w:pPr>
              <w:pStyle w:val="14"/>
              <w:shd w:val="clear" w:fill="FFFFFF" w:themeFill="background1"/>
              <w:jc w:val="center"/>
              <w:rPr>
                <w:rFonts w:hint="eastAsia" w:ascii="仿宋" w:hAnsi="仿宋" w:eastAsia="仿宋" w:cs="仿宋"/>
                <w:color w:val="auto"/>
                <w:sz w:val="24"/>
                <w:highlight w:val="none"/>
              </w:rPr>
            </w:pPr>
          </w:p>
        </w:tc>
        <w:tc>
          <w:tcPr>
            <w:tcW w:w="1039" w:type="dxa"/>
            <w:vAlign w:val="top"/>
          </w:tcPr>
          <w:p w14:paraId="7F6F0990">
            <w:pPr>
              <w:pStyle w:val="14"/>
              <w:shd w:val="clear" w:fill="FFFFFF" w:themeFill="background1"/>
              <w:jc w:val="center"/>
              <w:rPr>
                <w:rFonts w:hint="eastAsia" w:ascii="仿宋" w:hAnsi="仿宋" w:eastAsia="仿宋" w:cs="仿宋"/>
                <w:color w:val="auto"/>
                <w:sz w:val="24"/>
                <w:highlight w:val="none"/>
              </w:rPr>
            </w:pPr>
          </w:p>
        </w:tc>
        <w:tc>
          <w:tcPr>
            <w:tcW w:w="853" w:type="dxa"/>
            <w:vAlign w:val="top"/>
          </w:tcPr>
          <w:p w14:paraId="1336D62A">
            <w:pPr>
              <w:pStyle w:val="14"/>
              <w:shd w:val="clear" w:fill="FFFFFF" w:themeFill="background1"/>
              <w:jc w:val="center"/>
              <w:rPr>
                <w:rFonts w:hint="eastAsia" w:ascii="仿宋" w:hAnsi="仿宋" w:eastAsia="仿宋" w:cs="仿宋"/>
                <w:color w:val="auto"/>
                <w:sz w:val="24"/>
                <w:highlight w:val="none"/>
              </w:rPr>
            </w:pPr>
          </w:p>
        </w:tc>
      </w:tr>
    </w:tbl>
    <w:p w14:paraId="7F5B71EC">
      <w:pPr>
        <w:pStyle w:val="14"/>
        <w:keepNext w:val="0"/>
        <w:keepLines w:val="0"/>
        <w:pageBreakBefore w:val="0"/>
        <w:widowControl w:val="0"/>
        <w:shd w:val="clear"/>
        <w:kinsoku/>
        <w:wordWrap/>
        <w:overflowPunct/>
        <w:topLinePunct w:val="0"/>
        <w:autoSpaceDE/>
        <w:autoSpaceDN/>
        <w:bidi w:val="0"/>
        <w:adjustRightInd/>
        <w:snapToGrid/>
        <w:ind w:left="-420" w:leftChars="-200" w:firstLine="964" w:firstLineChars="400"/>
        <w:textAlignment w:val="auto"/>
        <w:outlineLvl w:val="9"/>
        <w:rPr>
          <w:rFonts w:hint="eastAsia" w:ascii="仿宋" w:hAnsi="仿宋" w:eastAsia="仿宋" w:cs="仿宋"/>
          <w:b/>
          <w:color w:val="auto"/>
          <w:sz w:val="24"/>
          <w:highlight w:val="none"/>
          <w:u w:val="single"/>
        </w:rPr>
      </w:pPr>
    </w:p>
    <w:p w14:paraId="4E3F7092">
      <w:pPr>
        <w:keepNext w:val="0"/>
        <w:keepLines w:val="0"/>
        <w:pageBreakBefore w:val="0"/>
        <w:widowControl w:val="0"/>
        <w:numPr>
          <w:ilvl w:val="0"/>
          <w:numId w:val="5"/>
        </w:numPr>
        <w:shd w:val="clear" w:fill="FFFFFF" w:themeFill="background1"/>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应按上表格式详细列报供货范围内的所有产品、货物及其附件的明细清单。</w:t>
      </w:r>
    </w:p>
    <w:p w14:paraId="786BF0FD">
      <w:pPr>
        <w:shd w:val="clear" w:color="auto" w:fill="auto"/>
        <w:spacing w:line="360" w:lineRule="auto"/>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投标人按照</w:t>
      </w:r>
      <w:r>
        <w:rPr>
          <w:rFonts w:hint="eastAsia" w:ascii="仿宋" w:hAnsi="仿宋" w:eastAsia="仿宋" w:cs="仿宋"/>
          <w:color w:val="auto"/>
          <w:sz w:val="24"/>
          <w:szCs w:val="24"/>
          <w:highlight w:val="none"/>
          <w:lang w:val="en-US" w:eastAsia="zh-CN"/>
        </w:rPr>
        <w:t>“第五章采购需求”内容完整报价，不得缺项漏项，否则按不响应招标文件实质性要求处理。</w:t>
      </w:r>
    </w:p>
    <w:p w14:paraId="1807CCA6">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表格长度可根据需要自行调整，表中所列内容为必须填</w:t>
      </w:r>
      <w:r>
        <w:rPr>
          <w:rFonts w:hint="eastAsia" w:ascii="仿宋" w:hAnsi="仿宋" w:eastAsia="仿宋" w:cs="仿宋"/>
          <w:color w:val="auto"/>
          <w:sz w:val="24"/>
          <w:szCs w:val="24"/>
          <w:highlight w:val="none"/>
          <w:lang w:eastAsia="zh-CN"/>
        </w:rPr>
        <w:t>写的</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可根据自身情况增加内容。</w:t>
      </w:r>
    </w:p>
    <w:p w14:paraId="55764D1D">
      <w:pPr>
        <w:pStyle w:val="7"/>
        <w:spacing w:line="24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rPr>
        <w:t xml:space="preserve">                                                 </w:t>
      </w:r>
    </w:p>
    <w:p w14:paraId="70CA98A8">
      <w:pPr>
        <w:shd w:val="clea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836354D">
      <w:pPr>
        <w:shd w:val="clea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BADD374">
      <w:pPr>
        <w:pStyle w:val="10"/>
        <w:rPr>
          <w:rFonts w:hint="eastAsia" w:ascii="仿宋" w:hAnsi="仿宋" w:eastAsia="仿宋" w:cs="仿宋"/>
          <w:color w:val="auto"/>
          <w:highlight w:val="none"/>
        </w:rPr>
        <w:sectPr>
          <w:pgSz w:w="16838" w:h="11906" w:orient="landscape"/>
          <w:pgMar w:top="1418" w:right="1134" w:bottom="1247" w:left="1134" w:header="851" w:footer="992" w:gutter="0"/>
          <w:pgBorders>
            <w:top w:val="none" w:sz="0" w:space="0"/>
            <w:left w:val="none" w:sz="0" w:space="0"/>
            <w:bottom w:val="none" w:sz="0" w:space="0"/>
            <w:right w:val="none" w:sz="0" w:space="0"/>
          </w:pgBorders>
          <w:cols w:space="425" w:num="1"/>
          <w:docGrid w:linePitch="312" w:charSpace="0"/>
        </w:sectPr>
      </w:pPr>
    </w:p>
    <w:p w14:paraId="336C72ED">
      <w:pPr>
        <w:rPr>
          <w:rFonts w:hint="eastAsia" w:ascii="仿宋" w:hAnsi="仿宋" w:eastAsia="仿宋" w:cs="仿宋"/>
          <w:color w:val="auto"/>
          <w:highlight w:val="none"/>
        </w:rPr>
      </w:pPr>
    </w:p>
    <w:p w14:paraId="6E755DFF">
      <w:pPr>
        <w:pStyle w:val="4"/>
        <w:shd w:val="clear"/>
        <w:spacing w:line="360" w:lineRule="auto"/>
        <w:ind w:firstLine="560"/>
        <w:outlineLvl w:val="2"/>
        <w:rPr>
          <w:rFonts w:hint="eastAsia" w:ascii="仿宋" w:hAnsi="仿宋" w:eastAsia="仿宋" w:cs="仿宋"/>
          <w:b/>
          <w:color w:val="auto"/>
          <w:kern w:val="2"/>
          <w:sz w:val="24"/>
          <w:szCs w:val="24"/>
          <w:highlight w:val="none"/>
          <w:lang w:val="en-US" w:eastAsia="zh-CN" w:bidi="ar-SA"/>
        </w:rPr>
      </w:pPr>
      <w:bookmarkStart w:id="652" w:name="_Toc22957"/>
      <w:bookmarkStart w:id="653" w:name="_Toc3789"/>
      <w:r>
        <w:rPr>
          <w:rFonts w:hint="eastAsia" w:ascii="仿宋" w:hAnsi="仿宋" w:eastAsia="仿宋" w:cs="仿宋"/>
          <w:b/>
          <w:color w:val="auto"/>
          <w:kern w:val="2"/>
          <w:sz w:val="24"/>
          <w:szCs w:val="24"/>
          <w:highlight w:val="none"/>
          <w:lang w:val="en-US" w:eastAsia="zh-CN" w:bidi="ar-SA"/>
        </w:rPr>
        <w:t>格式11、商务条款偏离表</w:t>
      </w:r>
      <w:bookmarkEnd w:id="652"/>
    </w:p>
    <w:tbl>
      <w:tblPr>
        <w:tblStyle w:val="2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130"/>
        <w:gridCol w:w="2236"/>
        <w:gridCol w:w="2419"/>
        <w:gridCol w:w="825"/>
        <w:gridCol w:w="825"/>
      </w:tblGrid>
      <w:tr w14:paraId="5604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7C1993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130" w:type="dxa"/>
            <w:tcBorders>
              <w:top w:val="single" w:color="auto" w:sz="4" w:space="0"/>
              <w:left w:val="nil"/>
              <w:bottom w:val="single" w:color="auto" w:sz="4" w:space="0"/>
              <w:right w:val="single" w:color="auto" w:sz="4" w:space="0"/>
            </w:tcBorders>
            <w:vAlign w:val="center"/>
          </w:tcPr>
          <w:p w14:paraId="64297B9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文件条款号</w:t>
            </w:r>
          </w:p>
        </w:tc>
        <w:tc>
          <w:tcPr>
            <w:tcW w:w="2236" w:type="dxa"/>
            <w:tcBorders>
              <w:top w:val="single" w:color="auto" w:sz="4" w:space="0"/>
              <w:left w:val="nil"/>
              <w:bottom w:val="single" w:color="auto" w:sz="4" w:space="0"/>
              <w:right w:val="single" w:color="auto" w:sz="4" w:space="0"/>
            </w:tcBorders>
            <w:vAlign w:val="center"/>
          </w:tcPr>
          <w:p w14:paraId="4D80B7E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文件的商务条款内容</w:t>
            </w:r>
          </w:p>
        </w:tc>
        <w:tc>
          <w:tcPr>
            <w:tcW w:w="2419" w:type="dxa"/>
            <w:tcBorders>
              <w:top w:val="single" w:color="auto" w:sz="4" w:space="0"/>
              <w:left w:val="nil"/>
              <w:bottom w:val="single" w:color="auto" w:sz="4" w:space="0"/>
              <w:right w:val="single" w:color="auto" w:sz="4" w:space="0"/>
            </w:tcBorders>
            <w:vAlign w:val="center"/>
          </w:tcPr>
          <w:p w14:paraId="1A11B4E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文件的商务条款响应情况</w:t>
            </w:r>
          </w:p>
        </w:tc>
        <w:tc>
          <w:tcPr>
            <w:tcW w:w="825" w:type="dxa"/>
            <w:tcBorders>
              <w:top w:val="single" w:color="auto" w:sz="4" w:space="0"/>
              <w:left w:val="nil"/>
              <w:bottom w:val="single" w:color="auto" w:sz="4" w:space="0"/>
              <w:right w:val="single" w:color="auto" w:sz="4" w:space="0"/>
            </w:tcBorders>
            <w:vAlign w:val="center"/>
          </w:tcPr>
          <w:p w14:paraId="4BA8151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偏离情况</w:t>
            </w:r>
          </w:p>
        </w:tc>
        <w:tc>
          <w:tcPr>
            <w:tcW w:w="825" w:type="dxa"/>
            <w:tcBorders>
              <w:top w:val="single" w:color="auto" w:sz="4" w:space="0"/>
              <w:left w:val="nil"/>
              <w:bottom w:val="single" w:color="auto" w:sz="4" w:space="0"/>
              <w:right w:val="single" w:color="auto" w:sz="4" w:space="0"/>
            </w:tcBorders>
            <w:vAlign w:val="center"/>
          </w:tcPr>
          <w:p w14:paraId="32DCE55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7E22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71954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30" w:type="dxa"/>
            <w:tcBorders>
              <w:top w:val="single" w:color="auto" w:sz="4" w:space="0"/>
              <w:left w:val="nil"/>
              <w:bottom w:val="single" w:color="auto" w:sz="4" w:space="0"/>
              <w:right w:val="single" w:color="auto" w:sz="4" w:space="0"/>
            </w:tcBorders>
            <w:vAlign w:val="center"/>
          </w:tcPr>
          <w:p w14:paraId="6B354A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“投标人须知前附表”第</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款</w:t>
            </w:r>
          </w:p>
        </w:tc>
        <w:tc>
          <w:tcPr>
            <w:tcW w:w="2236" w:type="dxa"/>
            <w:tcBorders>
              <w:top w:val="single" w:color="auto" w:sz="4" w:space="0"/>
              <w:left w:val="nil"/>
              <w:bottom w:val="single" w:color="auto" w:sz="4" w:space="0"/>
              <w:right w:val="single" w:color="auto" w:sz="4" w:space="0"/>
            </w:tcBorders>
            <w:vAlign w:val="center"/>
          </w:tcPr>
          <w:p w14:paraId="7BEDEAAB">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合同履行期限</w:t>
            </w:r>
          </w:p>
        </w:tc>
        <w:tc>
          <w:tcPr>
            <w:tcW w:w="2419" w:type="dxa"/>
            <w:tcBorders>
              <w:top w:val="single" w:color="auto" w:sz="4" w:space="0"/>
              <w:left w:val="nil"/>
              <w:bottom w:val="single" w:color="auto" w:sz="4" w:space="0"/>
              <w:right w:val="single" w:color="auto" w:sz="4" w:space="0"/>
            </w:tcBorders>
            <w:vAlign w:val="center"/>
          </w:tcPr>
          <w:p w14:paraId="3448DEAF">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5B9FC012">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70E044C5">
            <w:pPr>
              <w:jc w:val="center"/>
              <w:rPr>
                <w:rFonts w:hint="eastAsia" w:ascii="仿宋" w:hAnsi="仿宋" w:eastAsia="仿宋" w:cs="仿宋"/>
                <w:color w:val="auto"/>
                <w:sz w:val="24"/>
                <w:szCs w:val="24"/>
                <w:highlight w:val="none"/>
              </w:rPr>
            </w:pPr>
          </w:p>
        </w:tc>
      </w:tr>
      <w:tr w14:paraId="074E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93276E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130" w:type="dxa"/>
            <w:tcBorders>
              <w:top w:val="single" w:color="auto" w:sz="4" w:space="0"/>
              <w:left w:val="nil"/>
              <w:bottom w:val="single" w:color="auto" w:sz="4" w:space="0"/>
              <w:right w:val="single" w:color="auto" w:sz="4" w:space="0"/>
            </w:tcBorders>
            <w:vAlign w:val="center"/>
          </w:tcPr>
          <w:p w14:paraId="6066EA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“投标人须知前附表”第</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款</w:t>
            </w:r>
          </w:p>
        </w:tc>
        <w:tc>
          <w:tcPr>
            <w:tcW w:w="2236" w:type="dxa"/>
            <w:tcBorders>
              <w:top w:val="single" w:color="auto" w:sz="4" w:space="0"/>
              <w:left w:val="nil"/>
              <w:bottom w:val="single" w:color="auto" w:sz="4" w:space="0"/>
              <w:right w:val="single" w:color="auto" w:sz="4" w:space="0"/>
            </w:tcBorders>
            <w:vAlign w:val="center"/>
          </w:tcPr>
          <w:p w14:paraId="415EDF44">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lang w:val="en-US" w:eastAsia="zh-CN"/>
              </w:rPr>
              <w:t>供货时限</w:t>
            </w:r>
          </w:p>
        </w:tc>
        <w:tc>
          <w:tcPr>
            <w:tcW w:w="2419" w:type="dxa"/>
            <w:tcBorders>
              <w:top w:val="single" w:color="auto" w:sz="4" w:space="0"/>
              <w:left w:val="nil"/>
              <w:bottom w:val="single" w:color="auto" w:sz="4" w:space="0"/>
              <w:right w:val="single" w:color="auto" w:sz="4" w:space="0"/>
            </w:tcBorders>
            <w:vAlign w:val="center"/>
          </w:tcPr>
          <w:p w14:paraId="026958DA">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0E9765C6">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78211C2C">
            <w:pPr>
              <w:jc w:val="center"/>
              <w:rPr>
                <w:rFonts w:hint="eastAsia" w:ascii="仿宋" w:hAnsi="仿宋" w:eastAsia="仿宋" w:cs="仿宋"/>
                <w:color w:val="auto"/>
                <w:sz w:val="24"/>
                <w:szCs w:val="24"/>
                <w:highlight w:val="none"/>
              </w:rPr>
            </w:pPr>
          </w:p>
        </w:tc>
      </w:tr>
      <w:tr w14:paraId="3E4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9E9C7B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130" w:type="dxa"/>
            <w:tcBorders>
              <w:top w:val="single" w:color="auto" w:sz="4" w:space="0"/>
              <w:left w:val="nil"/>
              <w:bottom w:val="single" w:color="auto" w:sz="4" w:space="0"/>
              <w:right w:val="single" w:color="auto" w:sz="4" w:space="0"/>
            </w:tcBorders>
            <w:vAlign w:val="center"/>
          </w:tcPr>
          <w:p w14:paraId="4528E9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“投标人须知前附表”第</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款</w:t>
            </w:r>
          </w:p>
        </w:tc>
        <w:tc>
          <w:tcPr>
            <w:tcW w:w="2236" w:type="dxa"/>
            <w:tcBorders>
              <w:top w:val="single" w:color="auto" w:sz="4" w:space="0"/>
              <w:left w:val="nil"/>
              <w:bottom w:val="single" w:color="auto" w:sz="4" w:space="0"/>
              <w:right w:val="single" w:color="auto" w:sz="4" w:space="0"/>
            </w:tcBorders>
            <w:vAlign w:val="center"/>
          </w:tcPr>
          <w:p w14:paraId="7B91CE2E">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交货地点</w:t>
            </w:r>
          </w:p>
        </w:tc>
        <w:tc>
          <w:tcPr>
            <w:tcW w:w="2419" w:type="dxa"/>
            <w:tcBorders>
              <w:top w:val="single" w:color="auto" w:sz="4" w:space="0"/>
              <w:left w:val="nil"/>
              <w:bottom w:val="single" w:color="auto" w:sz="4" w:space="0"/>
              <w:right w:val="single" w:color="auto" w:sz="4" w:space="0"/>
            </w:tcBorders>
            <w:vAlign w:val="center"/>
          </w:tcPr>
          <w:p w14:paraId="50C018D9">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4213C142">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73F79D48">
            <w:pPr>
              <w:jc w:val="center"/>
              <w:rPr>
                <w:rFonts w:hint="eastAsia" w:ascii="仿宋" w:hAnsi="仿宋" w:eastAsia="仿宋" w:cs="仿宋"/>
                <w:color w:val="auto"/>
                <w:sz w:val="24"/>
                <w:szCs w:val="24"/>
                <w:highlight w:val="none"/>
              </w:rPr>
            </w:pPr>
          </w:p>
        </w:tc>
      </w:tr>
      <w:tr w14:paraId="268E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58A2AD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30" w:type="dxa"/>
            <w:tcBorders>
              <w:top w:val="single" w:color="auto" w:sz="4" w:space="0"/>
              <w:left w:val="nil"/>
              <w:bottom w:val="single" w:color="auto" w:sz="4" w:space="0"/>
              <w:right w:val="single" w:color="auto" w:sz="4" w:space="0"/>
            </w:tcBorders>
            <w:vAlign w:val="center"/>
          </w:tcPr>
          <w:p w14:paraId="1AB1DC9C">
            <w:pPr>
              <w:shd w:val="clear" w:fill="FFFFFF" w:themeFill="background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“投标人须知前附表”第</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款</w:t>
            </w:r>
          </w:p>
        </w:tc>
        <w:tc>
          <w:tcPr>
            <w:tcW w:w="2236" w:type="dxa"/>
            <w:tcBorders>
              <w:top w:val="single" w:color="auto" w:sz="4" w:space="0"/>
              <w:left w:val="nil"/>
              <w:bottom w:val="single" w:color="auto" w:sz="4" w:space="0"/>
              <w:right w:val="single" w:color="auto" w:sz="4" w:space="0"/>
            </w:tcBorders>
            <w:vAlign w:val="center"/>
          </w:tcPr>
          <w:p w14:paraId="759514E9">
            <w:pPr>
              <w:keepNext w:val="0"/>
              <w:keepLines w:val="0"/>
              <w:pageBreakBefore w:val="0"/>
              <w:shd w:val="clear"/>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保质期</w:t>
            </w:r>
          </w:p>
        </w:tc>
        <w:tc>
          <w:tcPr>
            <w:tcW w:w="2419" w:type="dxa"/>
            <w:tcBorders>
              <w:top w:val="single" w:color="auto" w:sz="4" w:space="0"/>
              <w:left w:val="nil"/>
              <w:bottom w:val="single" w:color="auto" w:sz="4" w:space="0"/>
              <w:right w:val="single" w:color="auto" w:sz="4" w:space="0"/>
            </w:tcBorders>
            <w:vAlign w:val="center"/>
          </w:tcPr>
          <w:p w14:paraId="6B1B387B">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1A5C61CA">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67836E13">
            <w:pPr>
              <w:jc w:val="center"/>
              <w:rPr>
                <w:rFonts w:hint="eastAsia" w:ascii="仿宋" w:hAnsi="仿宋" w:eastAsia="仿宋" w:cs="仿宋"/>
                <w:color w:val="auto"/>
                <w:sz w:val="24"/>
                <w:szCs w:val="24"/>
                <w:highlight w:val="none"/>
              </w:rPr>
            </w:pPr>
          </w:p>
        </w:tc>
      </w:tr>
      <w:tr w14:paraId="0124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213093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5</w:t>
            </w:r>
          </w:p>
        </w:tc>
        <w:tc>
          <w:tcPr>
            <w:tcW w:w="2130" w:type="dxa"/>
            <w:tcBorders>
              <w:top w:val="single" w:color="auto" w:sz="4" w:space="0"/>
              <w:left w:val="nil"/>
              <w:bottom w:val="single" w:color="auto" w:sz="4" w:space="0"/>
              <w:right w:val="single" w:color="auto" w:sz="4" w:space="0"/>
            </w:tcBorders>
            <w:vAlign w:val="center"/>
          </w:tcPr>
          <w:p w14:paraId="7335B80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“投标人须知前附表”</w:t>
            </w:r>
            <w:r>
              <w:rPr>
                <w:rFonts w:hint="eastAsia" w:ascii="仿宋" w:hAnsi="仿宋" w:eastAsia="仿宋" w:cs="仿宋"/>
                <w:sz w:val="24"/>
                <w:szCs w:val="24"/>
                <w:highlight w:val="none"/>
                <w:lang w:val="en-US" w:eastAsia="zh-CN"/>
              </w:rPr>
              <w:t>17.1</w:t>
            </w:r>
          </w:p>
        </w:tc>
        <w:tc>
          <w:tcPr>
            <w:tcW w:w="2236" w:type="dxa"/>
            <w:tcBorders>
              <w:top w:val="single" w:color="auto" w:sz="4" w:space="0"/>
              <w:left w:val="nil"/>
              <w:bottom w:val="single" w:color="auto" w:sz="4" w:space="0"/>
              <w:right w:val="single" w:color="auto" w:sz="4" w:space="0"/>
            </w:tcBorders>
            <w:vAlign w:val="center"/>
          </w:tcPr>
          <w:p w14:paraId="0C7043B6">
            <w:pPr>
              <w:shd w:val="clear" w:fill="FFFFFF" w:themeFill="background1"/>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投标有效期</w:t>
            </w:r>
          </w:p>
        </w:tc>
        <w:tc>
          <w:tcPr>
            <w:tcW w:w="2419" w:type="dxa"/>
            <w:tcBorders>
              <w:top w:val="single" w:color="auto" w:sz="4" w:space="0"/>
              <w:left w:val="nil"/>
              <w:bottom w:val="single" w:color="auto" w:sz="4" w:space="0"/>
              <w:right w:val="single" w:color="auto" w:sz="4" w:space="0"/>
            </w:tcBorders>
            <w:vAlign w:val="center"/>
          </w:tcPr>
          <w:p w14:paraId="17F3BC7C">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3A861BF0">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0DC0D897">
            <w:pPr>
              <w:jc w:val="center"/>
              <w:rPr>
                <w:rFonts w:hint="eastAsia" w:ascii="仿宋" w:hAnsi="仿宋" w:eastAsia="仿宋" w:cs="仿宋"/>
                <w:color w:val="auto"/>
                <w:sz w:val="24"/>
                <w:szCs w:val="24"/>
                <w:highlight w:val="none"/>
              </w:rPr>
            </w:pPr>
          </w:p>
        </w:tc>
      </w:tr>
      <w:tr w14:paraId="6F89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652226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6</w:t>
            </w:r>
          </w:p>
        </w:tc>
        <w:tc>
          <w:tcPr>
            <w:tcW w:w="2130" w:type="dxa"/>
            <w:tcBorders>
              <w:top w:val="single" w:color="auto" w:sz="4" w:space="0"/>
              <w:left w:val="nil"/>
              <w:bottom w:val="single" w:color="auto" w:sz="4" w:space="0"/>
              <w:right w:val="single" w:color="auto" w:sz="4" w:space="0"/>
            </w:tcBorders>
            <w:vAlign w:val="center"/>
          </w:tcPr>
          <w:p w14:paraId="5BF5946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“投标人须知前附表”</w:t>
            </w:r>
            <w:r>
              <w:rPr>
                <w:rFonts w:hint="eastAsia" w:ascii="仿宋" w:hAnsi="仿宋" w:eastAsia="仿宋" w:cs="仿宋"/>
                <w:sz w:val="24"/>
                <w:szCs w:val="24"/>
                <w:highlight w:val="none"/>
                <w:lang w:val="en-US" w:eastAsia="zh-CN"/>
              </w:rPr>
              <w:t>18.1</w:t>
            </w:r>
          </w:p>
        </w:tc>
        <w:tc>
          <w:tcPr>
            <w:tcW w:w="2236" w:type="dxa"/>
            <w:tcBorders>
              <w:top w:val="single" w:color="auto" w:sz="4" w:space="0"/>
              <w:left w:val="nil"/>
              <w:bottom w:val="single" w:color="auto" w:sz="4" w:space="0"/>
              <w:right w:val="single" w:color="auto" w:sz="4" w:space="0"/>
            </w:tcBorders>
            <w:vAlign w:val="center"/>
          </w:tcPr>
          <w:p w14:paraId="5E3D50F6">
            <w:pPr>
              <w:shd w:val="clear" w:fill="FFFFFF" w:themeFill="background1"/>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保证金</w:t>
            </w:r>
          </w:p>
        </w:tc>
        <w:tc>
          <w:tcPr>
            <w:tcW w:w="2419" w:type="dxa"/>
            <w:tcBorders>
              <w:top w:val="single" w:color="auto" w:sz="4" w:space="0"/>
              <w:left w:val="nil"/>
              <w:bottom w:val="single" w:color="auto" w:sz="4" w:space="0"/>
              <w:right w:val="single" w:color="auto" w:sz="4" w:space="0"/>
            </w:tcBorders>
            <w:vAlign w:val="center"/>
          </w:tcPr>
          <w:p w14:paraId="24A7F10F">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005F9DA1">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454B4663">
            <w:pPr>
              <w:jc w:val="center"/>
              <w:rPr>
                <w:rFonts w:hint="eastAsia" w:ascii="仿宋" w:hAnsi="仿宋" w:eastAsia="仿宋" w:cs="仿宋"/>
                <w:color w:val="auto"/>
                <w:sz w:val="24"/>
                <w:szCs w:val="24"/>
                <w:highlight w:val="none"/>
              </w:rPr>
            </w:pPr>
          </w:p>
        </w:tc>
      </w:tr>
      <w:tr w14:paraId="55D0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504D5FF">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7</w:t>
            </w:r>
          </w:p>
        </w:tc>
        <w:tc>
          <w:tcPr>
            <w:tcW w:w="2130" w:type="dxa"/>
            <w:tcBorders>
              <w:top w:val="single" w:color="auto" w:sz="4" w:space="0"/>
              <w:left w:val="nil"/>
              <w:bottom w:val="single" w:color="auto" w:sz="4" w:space="0"/>
              <w:right w:val="single" w:color="auto" w:sz="4" w:space="0"/>
            </w:tcBorders>
            <w:vAlign w:val="center"/>
          </w:tcPr>
          <w:p w14:paraId="49F5CD6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“投标人须知前附表”</w:t>
            </w:r>
            <w:r>
              <w:rPr>
                <w:rFonts w:hint="eastAsia" w:ascii="仿宋" w:hAnsi="仿宋" w:eastAsia="仿宋" w:cs="仿宋"/>
                <w:sz w:val="24"/>
                <w:szCs w:val="24"/>
                <w:highlight w:val="none"/>
                <w:lang w:val="en-US" w:eastAsia="zh-CN"/>
              </w:rPr>
              <w:t>32.1</w:t>
            </w:r>
          </w:p>
        </w:tc>
        <w:tc>
          <w:tcPr>
            <w:tcW w:w="2236" w:type="dxa"/>
            <w:tcBorders>
              <w:top w:val="single" w:color="auto" w:sz="4" w:space="0"/>
              <w:left w:val="nil"/>
              <w:bottom w:val="single" w:color="auto" w:sz="4" w:space="0"/>
              <w:right w:val="single" w:color="auto" w:sz="4" w:space="0"/>
            </w:tcBorders>
            <w:vAlign w:val="center"/>
          </w:tcPr>
          <w:p w14:paraId="6F096C85">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履约保证金</w:t>
            </w:r>
          </w:p>
        </w:tc>
        <w:tc>
          <w:tcPr>
            <w:tcW w:w="2419" w:type="dxa"/>
            <w:tcBorders>
              <w:top w:val="single" w:color="auto" w:sz="4" w:space="0"/>
              <w:left w:val="nil"/>
              <w:bottom w:val="single" w:color="auto" w:sz="4" w:space="0"/>
              <w:right w:val="single" w:color="auto" w:sz="4" w:space="0"/>
            </w:tcBorders>
            <w:vAlign w:val="center"/>
          </w:tcPr>
          <w:p w14:paraId="4AA17C98">
            <w:pPr>
              <w:shd w:val="clear"/>
              <w:spacing w:line="500" w:lineRule="exact"/>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032EDDC3">
            <w:pPr>
              <w:shd w:val="clear" w:fill="FFFFFF" w:themeFill="background1"/>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05EAC14E">
            <w:pPr>
              <w:jc w:val="center"/>
              <w:rPr>
                <w:rFonts w:hint="eastAsia" w:ascii="仿宋" w:hAnsi="仿宋" w:eastAsia="仿宋" w:cs="仿宋"/>
                <w:color w:val="auto"/>
                <w:sz w:val="24"/>
                <w:szCs w:val="24"/>
                <w:highlight w:val="none"/>
              </w:rPr>
            </w:pPr>
          </w:p>
        </w:tc>
      </w:tr>
      <w:tr w14:paraId="0AB7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2BC0E9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8</w:t>
            </w:r>
          </w:p>
        </w:tc>
        <w:tc>
          <w:tcPr>
            <w:tcW w:w="2130" w:type="dxa"/>
            <w:tcBorders>
              <w:top w:val="single" w:color="auto" w:sz="4" w:space="0"/>
              <w:left w:val="nil"/>
              <w:bottom w:val="single" w:color="auto" w:sz="4" w:space="0"/>
              <w:right w:val="single" w:color="auto" w:sz="4" w:space="0"/>
            </w:tcBorders>
            <w:vAlign w:val="center"/>
          </w:tcPr>
          <w:p w14:paraId="6E0CEF02">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采购需求</w:t>
            </w:r>
            <w:r>
              <w:rPr>
                <w:rFonts w:hint="eastAsia" w:ascii="仿宋" w:hAnsi="仿宋" w:eastAsia="仿宋" w:cs="仿宋"/>
                <w:sz w:val="24"/>
                <w:szCs w:val="24"/>
                <w:highlight w:val="none"/>
              </w:rPr>
              <w:t>”</w:t>
            </w:r>
          </w:p>
          <w:p w14:paraId="1208A68E">
            <w:pPr>
              <w:numPr>
                <w:ilvl w:val="0"/>
                <w:numId w:val="0"/>
              </w:numPr>
              <w:spacing w:line="240" w:lineRule="auto"/>
              <w:jc w:val="center"/>
              <w:rPr>
                <w:rFonts w:hint="eastAsia" w:ascii="仿宋" w:hAnsi="仿宋" w:eastAsia="仿宋" w:cs="仿宋"/>
              </w:rPr>
            </w:pPr>
            <w:r>
              <w:rPr>
                <w:rFonts w:hint="eastAsia" w:ascii="仿宋" w:hAnsi="仿宋" w:eastAsia="仿宋" w:cs="仿宋"/>
                <w:sz w:val="24"/>
                <w:szCs w:val="24"/>
                <w:highlight w:val="none"/>
                <w:lang w:val="en-US" w:eastAsia="zh-CN"/>
              </w:rPr>
              <w:t>8.其他要求</w:t>
            </w:r>
          </w:p>
        </w:tc>
        <w:tc>
          <w:tcPr>
            <w:tcW w:w="2236" w:type="dxa"/>
            <w:tcBorders>
              <w:top w:val="single" w:color="auto" w:sz="4" w:space="0"/>
              <w:left w:val="nil"/>
              <w:bottom w:val="single" w:color="auto" w:sz="4" w:space="0"/>
              <w:right w:val="single" w:color="auto" w:sz="4" w:space="0"/>
            </w:tcBorders>
            <w:vAlign w:val="center"/>
          </w:tcPr>
          <w:p w14:paraId="2FB1DD0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①、②款</w:t>
            </w:r>
          </w:p>
        </w:tc>
        <w:tc>
          <w:tcPr>
            <w:tcW w:w="2419" w:type="dxa"/>
            <w:tcBorders>
              <w:top w:val="single" w:color="auto" w:sz="4" w:space="0"/>
              <w:left w:val="nil"/>
              <w:bottom w:val="single" w:color="auto" w:sz="4" w:space="0"/>
              <w:right w:val="single" w:color="auto" w:sz="4" w:space="0"/>
            </w:tcBorders>
            <w:vAlign w:val="center"/>
          </w:tcPr>
          <w:p w14:paraId="2936D7F3">
            <w:pPr>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2F841C52">
            <w:pPr>
              <w:jc w:val="center"/>
              <w:rPr>
                <w:rFonts w:hint="eastAsia" w:ascii="仿宋" w:hAnsi="仿宋" w:eastAsia="仿宋" w:cs="仿宋"/>
                <w:color w:val="auto"/>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14:paraId="60266B2D">
            <w:pPr>
              <w:jc w:val="center"/>
              <w:rPr>
                <w:rFonts w:hint="eastAsia" w:ascii="仿宋" w:hAnsi="仿宋" w:eastAsia="仿宋" w:cs="仿宋"/>
                <w:color w:val="auto"/>
                <w:sz w:val="24"/>
                <w:szCs w:val="24"/>
                <w:highlight w:val="none"/>
              </w:rPr>
            </w:pPr>
          </w:p>
        </w:tc>
      </w:tr>
    </w:tbl>
    <w:p w14:paraId="35BADC18">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55A0AE">
      <w:pPr>
        <w:shd w:val="clear"/>
        <w:bidi w:val="0"/>
        <w:rPr>
          <w:rFonts w:hint="eastAsia" w:ascii="仿宋" w:hAnsi="仿宋" w:eastAsia="仿宋" w:cs="仿宋"/>
          <w:color w:val="auto"/>
          <w:highlight w:val="none"/>
        </w:rPr>
      </w:pPr>
    </w:p>
    <w:p w14:paraId="0E1F30B3">
      <w:pPr>
        <w:pStyle w:val="28"/>
        <w:shd w:val="clear"/>
        <w:rPr>
          <w:rFonts w:hint="eastAsia" w:ascii="仿宋" w:hAnsi="仿宋" w:eastAsia="仿宋" w:cs="仿宋"/>
          <w:color w:val="auto"/>
          <w:szCs w:val="24"/>
          <w:highlight w:val="none"/>
          <w:lang w:val="en-US" w:eastAsia="zh-CN"/>
        </w:rPr>
      </w:pPr>
    </w:p>
    <w:bookmarkEnd w:id="653"/>
    <w:p w14:paraId="1C423C22">
      <w:pPr>
        <w:spacing w:line="360" w:lineRule="auto"/>
        <w:ind w:firstLine="420"/>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12</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售后服务方案</w:t>
      </w:r>
    </w:p>
    <w:p w14:paraId="009365E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46DF4A2E">
      <w:pPr>
        <w:rPr>
          <w:rFonts w:hint="eastAsia" w:ascii="仿宋" w:hAnsi="仿宋" w:eastAsia="仿宋" w:cs="仿宋"/>
          <w:color w:val="auto"/>
          <w:sz w:val="28"/>
          <w:szCs w:val="24"/>
          <w:highlight w:val="none"/>
        </w:rPr>
      </w:pPr>
    </w:p>
    <w:p w14:paraId="4D36204A">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4210C6B6">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589ACA0">
      <w:pPr>
        <w:pStyle w:val="28"/>
        <w:ind w:firstLine="520" w:firstLineChars="200"/>
        <w:rPr>
          <w:rFonts w:hint="eastAsia" w:ascii="仿宋" w:hAnsi="仿宋" w:eastAsia="仿宋" w:cs="仿宋"/>
          <w:color w:val="auto"/>
          <w:szCs w:val="24"/>
          <w:highlight w:val="none"/>
        </w:rPr>
      </w:pPr>
      <w:r>
        <w:rPr>
          <w:rFonts w:hint="eastAsia" w:ascii="仿宋" w:hAnsi="仿宋" w:eastAsia="仿宋" w:cs="仿宋"/>
          <w:b w:val="0"/>
          <w:bCs/>
          <w:color w:val="auto"/>
          <w:sz w:val="24"/>
          <w:szCs w:val="24"/>
          <w:highlight w:val="none"/>
        </w:rPr>
        <w:t>日期：</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日</w:t>
      </w:r>
    </w:p>
    <w:p w14:paraId="7515F009">
      <w:pPr>
        <w:pStyle w:val="28"/>
        <w:ind w:firstLine="520" w:firstLineChars="200"/>
        <w:rPr>
          <w:rFonts w:hint="eastAsia" w:ascii="仿宋" w:hAnsi="仿宋" w:eastAsia="仿宋" w:cs="仿宋"/>
          <w:color w:val="auto"/>
          <w:szCs w:val="24"/>
          <w:highlight w:val="none"/>
        </w:rPr>
      </w:pPr>
    </w:p>
    <w:p w14:paraId="3CB4136F">
      <w:pPr>
        <w:rPr>
          <w:rFonts w:hint="eastAsia" w:ascii="仿宋" w:hAnsi="仿宋" w:eastAsia="仿宋" w:cs="仿宋"/>
          <w:color w:val="auto"/>
          <w:sz w:val="28"/>
          <w:szCs w:val="24"/>
          <w:highlight w:val="none"/>
        </w:rPr>
      </w:pPr>
    </w:p>
    <w:p w14:paraId="4E80F574">
      <w:pPr>
        <w:pStyle w:val="28"/>
        <w:ind w:firstLine="520" w:firstLineChars="200"/>
        <w:rPr>
          <w:rFonts w:hint="eastAsia" w:ascii="仿宋" w:hAnsi="仿宋" w:eastAsia="仿宋" w:cs="仿宋"/>
          <w:color w:val="auto"/>
          <w:szCs w:val="24"/>
          <w:highlight w:val="none"/>
        </w:rPr>
      </w:pPr>
    </w:p>
    <w:p w14:paraId="0BB44043">
      <w:pPr>
        <w:pStyle w:val="28"/>
        <w:ind w:firstLine="520" w:firstLineChars="200"/>
        <w:rPr>
          <w:rFonts w:hint="eastAsia" w:ascii="仿宋" w:hAnsi="仿宋" w:eastAsia="仿宋" w:cs="仿宋"/>
          <w:color w:val="auto"/>
          <w:szCs w:val="24"/>
          <w:highlight w:val="none"/>
        </w:rPr>
      </w:pPr>
    </w:p>
    <w:p w14:paraId="2F134813">
      <w:pPr>
        <w:keepNext/>
        <w:keepLines/>
        <w:spacing w:before="60" w:after="60" w:line="360" w:lineRule="auto"/>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格式</w:t>
      </w:r>
      <w:r>
        <w:rPr>
          <w:rFonts w:hint="eastAsia" w:ascii="仿宋" w:hAnsi="仿宋" w:eastAsia="仿宋" w:cs="仿宋"/>
          <w:b/>
          <w:color w:val="auto"/>
          <w:kern w:val="0"/>
          <w:sz w:val="24"/>
          <w:szCs w:val="24"/>
          <w:highlight w:val="none"/>
          <w:lang w:val="en-US" w:eastAsia="zh-CN"/>
        </w:rPr>
        <w:t>13</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仓储能力及配送车辆</w:t>
      </w:r>
    </w:p>
    <w:p w14:paraId="7238DAC9">
      <w:pPr>
        <w:pStyle w:val="10"/>
        <w:rPr>
          <w:rFonts w:hint="eastAsia" w:ascii="仿宋" w:hAnsi="仿宋" w:eastAsia="仿宋" w:cs="仿宋"/>
          <w:color w:val="auto"/>
          <w:highlight w:val="none"/>
        </w:rPr>
      </w:pPr>
      <w:r>
        <w:rPr>
          <w:rFonts w:hint="eastAsia" w:ascii="仿宋" w:hAnsi="仿宋" w:eastAsia="仿宋" w:cs="仿宋"/>
          <w:color w:val="auto"/>
          <w:highlight w:val="none"/>
        </w:rPr>
        <w:t>格式自拟</w:t>
      </w:r>
    </w:p>
    <w:p w14:paraId="5016A2B2">
      <w:pPr>
        <w:spacing w:line="360" w:lineRule="auto"/>
        <w:rPr>
          <w:rFonts w:hint="eastAsia" w:ascii="仿宋" w:hAnsi="仿宋" w:eastAsia="仿宋" w:cs="仿宋"/>
          <w:color w:val="auto"/>
          <w:sz w:val="24"/>
          <w:szCs w:val="24"/>
          <w:highlight w:val="none"/>
        </w:rPr>
      </w:pPr>
    </w:p>
    <w:p w14:paraId="7871136C">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6B9C0076">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78D3A992">
      <w:pPr>
        <w:pStyle w:val="28"/>
        <w:ind w:firstLine="520" w:firstLineChars="200"/>
        <w:rPr>
          <w:rFonts w:hint="eastAsia" w:ascii="仿宋" w:hAnsi="仿宋" w:eastAsia="仿宋" w:cs="仿宋"/>
          <w:color w:val="auto"/>
          <w:szCs w:val="24"/>
          <w:highlight w:val="none"/>
        </w:rPr>
      </w:pPr>
      <w:r>
        <w:rPr>
          <w:rFonts w:hint="eastAsia" w:ascii="仿宋" w:hAnsi="仿宋" w:eastAsia="仿宋" w:cs="仿宋"/>
          <w:b w:val="0"/>
          <w:bCs/>
          <w:color w:val="auto"/>
          <w:sz w:val="24"/>
          <w:szCs w:val="24"/>
          <w:highlight w:val="none"/>
        </w:rPr>
        <w:t>日期：</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日</w:t>
      </w:r>
    </w:p>
    <w:p w14:paraId="20EBDA68">
      <w:pPr>
        <w:pStyle w:val="28"/>
        <w:rPr>
          <w:rFonts w:hint="eastAsia" w:ascii="仿宋" w:hAnsi="仿宋" w:eastAsia="仿宋" w:cs="仿宋"/>
          <w:color w:val="auto"/>
          <w:highlight w:val="none"/>
        </w:rPr>
      </w:pPr>
    </w:p>
    <w:p w14:paraId="07C2C95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3F129D">
      <w:pPr>
        <w:pStyle w:val="10"/>
        <w:rPr>
          <w:rFonts w:hint="eastAsia" w:ascii="仿宋" w:hAnsi="仿宋" w:eastAsia="仿宋" w:cs="仿宋"/>
          <w:color w:val="auto"/>
          <w:highlight w:val="none"/>
        </w:rPr>
      </w:pPr>
    </w:p>
    <w:p w14:paraId="24DF6CFA">
      <w:pPr>
        <w:pStyle w:val="28"/>
        <w:ind w:firstLine="520" w:firstLineChars="200"/>
        <w:rPr>
          <w:rFonts w:hint="eastAsia" w:ascii="仿宋" w:hAnsi="仿宋" w:eastAsia="仿宋" w:cs="仿宋"/>
          <w:b w:val="0"/>
          <w:bCs/>
          <w:color w:val="auto"/>
          <w:sz w:val="24"/>
          <w:szCs w:val="24"/>
          <w:highlight w:val="none"/>
        </w:rPr>
      </w:pPr>
    </w:p>
    <w:p w14:paraId="7B5CFB06">
      <w:pPr>
        <w:keepNext/>
        <w:keepLines/>
        <w:spacing w:before="60" w:after="60" w:line="360" w:lineRule="auto"/>
        <w:ind w:firstLine="723" w:firstLineChars="30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格式14、</w:t>
      </w:r>
      <w:r>
        <w:rPr>
          <w:rFonts w:hint="eastAsia" w:ascii="仿宋" w:hAnsi="仿宋" w:eastAsia="仿宋" w:cs="仿宋"/>
          <w:b/>
          <w:bCs/>
          <w:color w:val="auto"/>
          <w:sz w:val="24"/>
          <w:szCs w:val="24"/>
          <w:highlight w:val="none"/>
        </w:rPr>
        <w:t>类</w:t>
      </w:r>
      <w:r>
        <w:rPr>
          <w:rFonts w:hint="eastAsia" w:ascii="仿宋" w:hAnsi="仿宋" w:eastAsia="仿宋" w:cs="仿宋"/>
          <w:b/>
          <w:bCs/>
          <w:color w:val="auto"/>
          <w:sz w:val="24"/>
          <w:szCs w:val="24"/>
          <w:highlight w:val="none"/>
          <w:lang w:eastAsia="zh-CN"/>
        </w:rPr>
        <w:t>似</w:t>
      </w:r>
      <w:r>
        <w:rPr>
          <w:rFonts w:hint="eastAsia" w:ascii="仿宋" w:hAnsi="仿宋" w:eastAsia="仿宋" w:cs="仿宋"/>
          <w:b/>
          <w:bCs/>
          <w:color w:val="auto"/>
          <w:sz w:val="24"/>
          <w:szCs w:val="24"/>
          <w:highlight w:val="none"/>
          <w:lang w:val="en-US" w:eastAsia="zh-CN"/>
        </w:rPr>
        <w:t>业</w:t>
      </w:r>
      <w:r>
        <w:rPr>
          <w:rFonts w:hint="eastAsia" w:ascii="仿宋" w:hAnsi="仿宋" w:eastAsia="仿宋" w:cs="仿宋"/>
          <w:b/>
          <w:bCs/>
          <w:color w:val="auto"/>
          <w:sz w:val="24"/>
          <w:szCs w:val="24"/>
          <w:highlight w:val="none"/>
        </w:rPr>
        <w:t>绩</w:t>
      </w:r>
    </w:p>
    <w:tbl>
      <w:tblPr>
        <w:tblStyle w:val="23"/>
        <w:tblW w:w="8572" w:type="dxa"/>
        <w:jc w:val="center"/>
        <w:tblLayout w:type="fixed"/>
        <w:tblCellMar>
          <w:top w:w="0" w:type="dxa"/>
          <w:left w:w="54" w:type="dxa"/>
          <w:bottom w:w="0" w:type="dxa"/>
          <w:right w:w="54" w:type="dxa"/>
        </w:tblCellMar>
      </w:tblPr>
      <w:tblGrid>
        <w:gridCol w:w="835"/>
        <w:gridCol w:w="1258"/>
        <w:gridCol w:w="1843"/>
        <w:gridCol w:w="1559"/>
        <w:gridCol w:w="1843"/>
        <w:gridCol w:w="1234"/>
      </w:tblGrid>
      <w:tr w14:paraId="01520913">
        <w:tblPrEx>
          <w:tblCellMar>
            <w:top w:w="0" w:type="dxa"/>
            <w:left w:w="54" w:type="dxa"/>
            <w:bottom w:w="0" w:type="dxa"/>
            <w:right w:w="54" w:type="dxa"/>
          </w:tblCellMar>
        </w:tblPrEx>
        <w:trPr>
          <w:cantSplit/>
          <w:trHeight w:val="437" w:hRule="atLeast"/>
          <w:jc w:val="center"/>
        </w:trPr>
        <w:tc>
          <w:tcPr>
            <w:tcW w:w="835" w:type="dxa"/>
            <w:tcBorders>
              <w:top w:val="single" w:color="auto" w:sz="6" w:space="0"/>
              <w:left w:val="single" w:color="auto" w:sz="6" w:space="0"/>
              <w:bottom w:val="single" w:color="auto" w:sz="4" w:space="0"/>
              <w:right w:val="single" w:color="auto" w:sz="4" w:space="0"/>
            </w:tcBorders>
            <w:vAlign w:val="center"/>
          </w:tcPr>
          <w:p w14:paraId="2FFD7B5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58" w:type="dxa"/>
            <w:tcBorders>
              <w:top w:val="single" w:color="auto" w:sz="6" w:space="0"/>
              <w:left w:val="single" w:color="auto" w:sz="4" w:space="0"/>
              <w:bottom w:val="single" w:color="auto" w:sz="4" w:space="0"/>
              <w:right w:val="single" w:color="auto" w:sz="4" w:space="0"/>
            </w:tcBorders>
            <w:vAlign w:val="center"/>
          </w:tcPr>
          <w:p w14:paraId="1DCC4E7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1843" w:type="dxa"/>
            <w:tcBorders>
              <w:top w:val="single" w:color="auto" w:sz="6" w:space="0"/>
              <w:left w:val="single" w:color="auto" w:sz="4" w:space="0"/>
              <w:bottom w:val="single" w:color="auto" w:sz="4" w:space="0"/>
              <w:right w:val="single" w:color="auto" w:sz="6" w:space="0"/>
            </w:tcBorders>
            <w:vAlign w:val="center"/>
          </w:tcPr>
          <w:p w14:paraId="0C53C5B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合同签订日期</w:t>
            </w:r>
          </w:p>
        </w:tc>
        <w:tc>
          <w:tcPr>
            <w:tcW w:w="1559" w:type="dxa"/>
            <w:tcBorders>
              <w:top w:val="single" w:color="auto" w:sz="6" w:space="0"/>
              <w:left w:val="single" w:color="auto" w:sz="6" w:space="0"/>
              <w:bottom w:val="single" w:color="auto" w:sz="4" w:space="0"/>
              <w:right w:val="single" w:color="auto" w:sz="4" w:space="0"/>
            </w:tcBorders>
            <w:vAlign w:val="center"/>
          </w:tcPr>
          <w:p w14:paraId="713206C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合同金额</w:t>
            </w:r>
          </w:p>
        </w:tc>
        <w:tc>
          <w:tcPr>
            <w:tcW w:w="1843" w:type="dxa"/>
            <w:tcBorders>
              <w:top w:val="single" w:color="auto" w:sz="6" w:space="0"/>
              <w:left w:val="single" w:color="auto" w:sz="4" w:space="0"/>
              <w:bottom w:val="single" w:color="auto" w:sz="4" w:space="0"/>
              <w:right w:val="single" w:color="auto" w:sz="4" w:space="0"/>
            </w:tcBorders>
            <w:vAlign w:val="center"/>
          </w:tcPr>
          <w:p w14:paraId="0AAE74B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采购单位联系人</w:t>
            </w:r>
          </w:p>
        </w:tc>
        <w:tc>
          <w:tcPr>
            <w:tcW w:w="1234" w:type="dxa"/>
            <w:tcBorders>
              <w:top w:val="single" w:color="auto" w:sz="6" w:space="0"/>
              <w:left w:val="single" w:color="auto" w:sz="4" w:space="0"/>
              <w:bottom w:val="single" w:color="auto" w:sz="4" w:space="0"/>
              <w:right w:val="single" w:color="auto" w:sz="4" w:space="0"/>
            </w:tcBorders>
            <w:vAlign w:val="center"/>
          </w:tcPr>
          <w:p w14:paraId="7BC85B6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tc>
      </w:tr>
      <w:tr w14:paraId="44DFA0FD">
        <w:tblPrEx>
          <w:tblCellMar>
            <w:top w:w="0" w:type="dxa"/>
            <w:left w:w="54" w:type="dxa"/>
            <w:bottom w:w="0" w:type="dxa"/>
            <w:right w:w="54" w:type="dxa"/>
          </w:tblCellMar>
        </w:tblPrEx>
        <w:trPr>
          <w:cantSplit/>
          <w:trHeight w:val="461"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14:paraId="6F61009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58" w:type="dxa"/>
            <w:tcBorders>
              <w:top w:val="single" w:color="auto" w:sz="4" w:space="0"/>
              <w:left w:val="single" w:color="auto" w:sz="4" w:space="0"/>
              <w:bottom w:val="single" w:color="auto" w:sz="4" w:space="0"/>
              <w:right w:val="single" w:color="auto" w:sz="4" w:space="0"/>
            </w:tcBorders>
            <w:vAlign w:val="center"/>
          </w:tcPr>
          <w:p w14:paraId="3F69EE76">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6" w:space="0"/>
            </w:tcBorders>
            <w:vAlign w:val="center"/>
          </w:tcPr>
          <w:p w14:paraId="50AB8715">
            <w:pPr>
              <w:spacing w:line="360" w:lineRule="auto"/>
              <w:jc w:val="center"/>
              <w:rPr>
                <w:rFonts w:hint="eastAsia" w:ascii="仿宋" w:hAnsi="仿宋" w:eastAsia="仿宋" w:cs="仿宋"/>
                <w:bCs/>
                <w:color w:val="auto"/>
                <w:sz w:val="24"/>
                <w:szCs w:val="24"/>
                <w:highlight w:val="none"/>
              </w:rPr>
            </w:pPr>
          </w:p>
        </w:tc>
        <w:tc>
          <w:tcPr>
            <w:tcW w:w="1559" w:type="dxa"/>
            <w:tcBorders>
              <w:top w:val="single" w:color="auto" w:sz="4" w:space="0"/>
              <w:left w:val="single" w:color="auto" w:sz="6" w:space="0"/>
              <w:bottom w:val="single" w:color="auto" w:sz="4" w:space="0"/>
              <w:right w:val="single" w:color="auto" w:sz="4" w:space="0"/>
            </w:tcBorders>
            <w:vAlign w:val="center"/>
          </w:tcPr>
          <w:p w14:paraId="3D32AC15">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7012AAB">
            <w:pPr>
              <w:spacing w:line="360" w:lineRule="auto"/>
              <w:jc w:val="center"/>
              <w:rPr>
                <w:rFonts w:hint="eastAsia" w:ascii="仿宋" w:hAnsi="仿宋" w:eastAsia="仿宋" w:cs="仿宋"/>
                <w:bCs/>
                <w:color w:val="auto"/>
                <w:sz w:val="24"/>
                <w:szCs w:val="24"/>
                <w:highlight w:val="none"/>
              </w:rPr>
            </w:pPr>
          </w:p>
        </w:tc>
        <w:tc>
          <w:tcPr>
            <w:tcW w:w="1234" w:type="dxa"/>
            <w:tcBorders>
              <w:top w:val="single" w:color="auto" w:sz="4" w:space="0"/>
              <w:left w:val="single" w:color="auto" w:sz="4" w:space="0"/>
              <w:bottom w:val="single" w:color="auto" w:sz="4" w:space="0"/>
              <w:right w:val="single" w:color="auto" w:sz="6" w:space="0"/>
            </w:tcBorders>
            <w:vAlign w:val="center"/>
          </w:tcPr>
          <w:p w14:paraId="33AA46D0">
            <w:pPr>
              <w:spacing w:line="360" w:lineRule="auto"/>
              <w:jc w:val="center"/>
              <w:rPr>
                <w:rFonts w:hint="eastAsia" w:ascii="仿宋" w:hAnsi="仿宋" w:eastAsia="仿宋" w:cs="仿宋"/>
                <w:bCs/>
                <w:color w:val="auto"/>
                <w:sz w:val="24"/>
                <w:szCs w:val="24"/>
                <w:highlight w:val="none"/>
              </w:rPr>
            </w:pPr>
          </w:p>
        </w:tc>
      </w:tr>
      <w:tr w14:paraId="04A6E95B">
        <w:tblPrEx>
          <w:tblCellMar>
            <w:top w:w="0" w:type="dxa"/>
            <w:left w:w="54" w:type="dxa"/>
            <w:bottom w:w="0" w:type="dxa"/>
            <w:right w:w="54" w:type="dxa"/>
          </w:tblCellMar>
        </w:tblPrEx>
        <w:trPr>
          <w:cantSplit/>
          <w:trHeight w:val="452"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14:paraId="558CD5A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58" w:type="dxa"/>
            <w:tcBorders>
              <w:top w:val="single" w:color="auto" w:sz="4" w:space="0"/>
              <w:left w:val="single" w:color="auto" w:sz="4" w:space="0"/>
              <w:bottom w:val="single" w:color="auto" w:sz="4" w:space="0"/>
              <w:right w:val="single" w:color="auto" w:sz="4" w:space="0"/>
            </w:tcBorders>
            <w:vAlign w:val="center"/>
          </w:tcPr>
          <w:p w14:paraId="40B9383E">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6" w:space="0"/>
            </w:tcBorders>
            <w:vAlign w:val="center"/>
          </w:tcPr>
          <w:p w14:paraId="37034B30">
            <w:pPr>
              <w:spacing w:line="360" w:lineRule="auto"/>
              <w:jc w:val="center"/>
              <w:rPr>
                <w:rFonts w:hint="eastAsia" w:ascii="仿宋" w:hAnsi="仿宋" w:eastAsia="仿宋" w:cs="仿宋"/>
                <w:bCs/>
                <w:color w:val="auto"/>
                <w:sz w:val="24"/>
                <w:szCs w:val="24"/>
                <w:highlight w:val="none"/>
              </w:rPr>
            </w:pPr>
          </w:p>
        </w:tc>
        <w:tc>
          <w:tcPr>
            <w:tcW w:w="1559" w:type="dxa"/>
            <w:tcBorders>
              <w:top w:val="single" w:color="auto" w:sz="4" w:space="0"/>
              <w:left w:val="single" w:color="auto" w:sz="6" w:space="0"/>
              <w:bottom w:val="single" w:color="auto" w:sz="4" w:space="0"/>
              <w:right w:val="single" w:color="auto" w:sz="4" w:space="0"/>
            </w:tcBorders>
            <w:vAlign w:val="center"/>
          </w:tcPr>
          <w:p w14:paraId="3FF2EF47">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51284A2">
            <w:pPr>
              <w:spacing w:line="360" w:lineRule="auto"/>
              <w:jc w:val="center"/>
              <w:rPr>
                <w:rFonts w:hint="eastAsia" w:ascii="仿宋" w:hAnsi="仿宋" w:eastAsia="仿宋" w:cs="仿宋"/>
                <w:bCs/>
                <w:color w:val="auto"/>
                <w:sz w:val="24"/>
                <w:szCs w:val="24"/>
                <w:highlight w:val="none"/>
              </w:rPr>
            </w:pPr>
          </w:p>
        </w:tc>
        <w:tc>
          <w:tcPr>
            <w:tcW w:w="1234" w:type="dxa"/>
            <w:tcBorders>
              <w:top w:val="single" w:color="auto" w:sz="4" w:space="0"/>
              <w:left w:val="single" w:color="auto" w:sz="4" w:space="0"/>
              <w:bottom w:val="single" w:color="auto" w:sz="4" w:space="0"/>
              <w:right w:val="single" w:color="auto" w:sz="6" w:space="0"/>
            </w:tcBorders>
            <w:vAlign w:val="center"/>
          </w:tcPr>
          <w:p w14:paraId="3B739828">
            <w:pPr>
              <w:spacing w:line="360" w:lineRule="auto"/>
              <w:jc w:val="center"/>
              <w:rPr>
                <w:rFonts w:hint="eastAsia" w:ascii="仿宋" w:hAnsi="仿宋" w:eastAsia="仿宋" w:cs="仿宋"/>
                <w:bCs/>
                <w:color w:val="auto"/>
                <w:sz w:val="24"/>
                <w:szCs w:val="24"/>
                <w:highlight w:val="none"/>
              </w:rPr>
            </w:pPr>
          </w:p>
        </w:tc>
      </w:tr>
      <w:tr w14:paraId="451C697B">
        <w:tblPrEx>
          <w:tblCellMar>
            <w:top w:w="0" w:type="dxa"/>
            <w:left w:w="54" w:type="dxa"/>
            <w:bottom w:w="0" w:type="dxa"/>
            <w:right w:w="54" w:type="dxa"/>
          </w:tblCellMar>
        </w:tblPrEx>
        <w:trPr>
          <w:cantSplit/>
          <w:trHeight w:val="473"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14:paraId="68EF3E34">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258" w:type="dxa"/>
            <w:tcBorders>
              <w:top w:val="single" w:color="auto" w:sz="4" w:space="0"/>
              <w:left w:val="single" w:color="auto" w:sz="4" w:space="0"/>
              <w:bottom w:val="single" w:color="auto" w:sz="4" w:space="0"/>
              <w:right w:val="single" w:color="auto" w:sz="4" w:space="0"/>
            </w:tcBorders>
          </w:tcPr>
          <w:p w14:paraId="29964AAD">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6" w:space="0"/>
            </w:tcBorders>
            <w:vAlign w:val="center"/>
          </w:tcPr>
          <w:p w14:paraId="265197B0">
            <w:pPr>
              <w:spacing w:line="360" w:lineRule="auto"/>
              <w:jc w:val="center"/>
              <w:rPr>
                <w:rFonts w:hint="eastAsia" w:ascii="仿宋" w:hAnsi="仿宋" w:eastAsia="仿宋" w:cs="仿宋"/>
                <w:bCs/>
                <w:color w:val="auto"/>
                <w:sz w:val="24"/>
                <w:szCs w:val="24"/>
                <w:highlight w:val="none"/>
              </w:rPr>
            </w:pPr>
          </w:p>
        </w:tc>
        <w:tc>
          <w:tcPr>
            <w:tcW w:w="1559" w:type="dxa"/>
            <w:tcBorders>
              <w:top w:val="single" w:color="auto" w:sz="4" w:space="0"/>
              <w:left w:val="single" w:color="auto" w:sz="6" w:space="0"/>
              <w:bottom w:val="single" w:color="auto" w:sz="4" w:space="0"/>
              <w:right w:val="single" w:color="auto" w:sz="4" w:space="0"/>
            </w:tcBorders>
            <w:vAlign w:val="center"/>
          </w:tcPr>
          <w:p w14:paraId="562A22E7">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A40EC1B">
            <w:pPr>
              <w:spacing w:line="360" w:lineRule="auto"/>
              <w:jc w:val="center"/>
              <w:rPr>
                <w:rFonts w:hint="eastAsia" w:ascii="仿宋" w:hAnsi="仿宋" w:eastAsia="仿宋" w:cs="仿宋"/>
                <w:bCs/>
                <w:color w:val="auto"/>
                <w:sz w:val="24"/>
                <w:szCs w:val="24"/>
                <w:highlight w:val="none"/>
              </w:rPr>
            </w:pPr>
          </w:p>
        </w:tc>
        <w:tc>
          <w:tcPr>
            <w:tcW w:w="1234" w:type="dxa"/>
            <w:tcBorders>
              <w:top w:val="single" w:color="auto" w:sz="4" w:space="0"/>
              <w:left w:val="single" w:color="auto" w:sz="4" w:space="0"/>
              <w:bottom w:val="single" w:color="auto" w:sz="4" w:space="0"/>
              <w:right w:val="single" w:color="auto" w:sz="6" w:space="0"/>
            </w:tcBorders>
            <w:vAlign w:val="center"/>
          </w:tcPr>
          <w:p w14:paraId="39B85BC8">
            <w:pPr>
              <w:spacing w:line="360" w:lineRule="auto"/>
              <w:jc w:val="center"/>
              <w:rPr>
                <w:rFonts w:hint="eastAsia" w:ascii="仿宋" w:hAnsi="仿宋" w:eastAsia="仿宋" w:cs="仿宋"/>
                <w:bCs/>
                <w:color w:val="auto"/>
                <w:sz w:val="24"/>
                <w:szCs w:val="24"/>
                <w:highlight w:val="none"/>
              </w:rPr>
            </w:pPr>
          </w:p>
        </w:tc>
      </w:tr>
      <w:tr w14:paraId="44B4867C">
        <w:tblPrEx>
          <w:tblCellMar>
            <w:top w:w="0" w:type="dxa"/>
            <w:left w:w="54" w:type="dxa"/>
            <w:bottom w:w="0" w:type="dxa"/>
            <w:right w:w="54" w:type="dxa"/>
          </w:tblCellMar>
        </w:tblPrEx>
        <w:trPr>
          <w:cantSplit/>
          <w:trHeight w:val="473"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14:paraId="040DB2DE">
            <w:pPr>
              <w:spacing w:line="360" w:lineRule="auto"/>
              <w:jc w:val="center"/>
              <w:rPr>
                <w:rFonts w:hint="eastAsia" w:ascii="仿宋" w:hAnsi="仿宋" w:eastAsia="仿宋" w:cs="仿宋"/>
                <w:bCs/>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tcPr>
          <w:p w14:paraId="410E5275">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6" w:space="0"/>
            </w:tcBorders>
            <w:vAlign w:val="center"/>
          </w:tcPr>
          <w:p w14:paraId="0385FC55">
            <w:pPr>
              <w:spacing w:line="360" w:lineRule="auto"/>
              <w:jc w:val="center"/>
              <w:rPr>
                <w:rFonts w:hint="eastAsia" w:ascii="仿宋" w:hAnsi="仿宋" w:eastAsia="仿宋" w:cs="仿宋"/>
                <w:bCs/>
                <w:color w:val="auto"/>
                <w:sz w:val="24"/>
                <w:szCs w:val="24"/>
                <w:highlight w:val="none"/>
              </w:rPr>
            </w:pPr>
          </w:p>
        </w:tc>
        <w:tc>
          <w:tcPr>
            <w:tcW w:w="1559" w:type="dxa"/>
            <w:tcBorders>
              <w:top w:val="single" w:color="auto" w:sz="4" w:space="0"/>
              <w:left w:val="single" w:color="auto" w:sz="6" w:space="0"/>
              <w:bottom w:val="single" w:color="auto" w:sz="4" w:space="0"/>
              <w:right w:val="single" w:color="auto" w:sz="4" w:space="0"/>
            </w:tcBorders>
            <w:vAlign w:val="center"/>
          </w:tcPr>
          <w:p w14:paraId="7421001D">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5E0D26F">
            <w:pPr>
              <w:spacing w:line="360" w:lineRule="auto"/>
              <w:jc w:val="center"/>
              <w:rPr>
                <w:rFonts w:hint="eastAsia" w:ascii="仿宋" w:hAnsi="仿宋" w:eastAsia="仿宋" w:cs="仿宋"/>
                <w:bCs/>
                <w:color w:val="auto"/>
                <w:sz w:val="24"/>
                <w:szCs w:val="24"/>
                <w:highlight w:val="none"/>
              </w:rPr>
            </w:pPr>
          </w:p>
        </w:tc>
        <w:tc>
          <w:tcPr>
            <w:tcW w:w="1234" w:type="dxa"/>
            <w:tcBorders>
              <w:top w:val="single" w:color="auto" w:sz="4" w:space="0"/>
              <w:left w:val="single" w:color="auto" w:sz="4" w:space="0"/>
              <w:bottom w:val="single" w:color="auto" w:sz="4" w:space="0"/>
              <w:right w:val="single" w:color="auto" w:sz="6" w:space="0"/>
            </w:tcBorders>
            <w:vAlign w:val="center"/>
          </w:tcPr>
          <w:p w14:paraId="2D0A1E36">
            <w:pPr>
              <w:spacing w:line="360" w:lineRule="auto"/>
              <w:jc w:val="center"/>
              <w:rPr>
                <w:rFonts w:hint="eastAsia" w:ascii="仿宋" w:hAnsi="仿宋" w:eastAsia="仿宋" w:cs="仿宋"/>
                <w:bCs/>
                <w:color w:val="auto"/>
                <w:sz w:val="24"/>
                <w:szCs w:val="24"/>
                <w:highlight w:val="none"/>
              </w:rPr>
            </w:pPr>
          </w:p>
        </w:tc>
      </w:tr>
      <w:tr w14:paraId="5F789576">
        <w:tblPrEx>
          <w:tblCellMar>
            <w:top w:w="0" w:type="dxa"/>
            <w:left w:w="54" w:type="dxa"/>
            <w:bottom w:w="0" w:type="dxa"/>
            <w:right w:w="54" w:type="dxa"/>
          </w:tblCellMar>
        </w:tblPrEx>
        <w:trPr>
          <w:cantSplit/>
          <w:trHeight w:val="473"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14:paraId="6B5A5B67">
            <w:pPr>
              <w:spacing w:line="360" w:lineRule="auto"/>
              <w:jc w:val="center"/>
              <w:rPr>
                <w:rFonts w:hint="eastAsia" w:ascii="仿宋" w:hAnsi="仿宋" w:eastAsia="仿宋" w:cs="仿宋"/>
                <w:bCs/>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tcPr>
          <w:p w14:paraId="160D64C2">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6" w:space="0"/>
            </w:tcBorders>
            <w:vAlign w:val="center"/>
          </w:tcPr>
          <w:p w14:paraId="6D344F5D">
            <w:pPr>
              <w:spacing w:line="360" w:lineRule="auto"/>
              <w:jc w:val="center"/>
              <w:rPr>
                <w:rFonts w:hint="eastAsia" w:ascii="仿宋" w:hAnsi="仿宋" w:eastAsia="仿宋" w:cs="仿宋"/>
                <w:bCs/>
                <w:color w:val="auto"/>
                <w:sz w:val="24"/>
                <w:szCs w:val="24"/>
                <w:highlight w:val="none"/>
              </w:rPr>
            </w:pPr>
          </w:p>
        </w:tc>
        <w:tc>
          <w:tcPr>
            <w:tcW w:w="1559" w:type="dxa"/>
            <w:tcBorders>
              <w:top w:val="single" w:color="auto" w:sz="4" w:space="0"/>
              <w:left w:val="single" w:color="auto" w:sz="6" w:space="0"/>
              <w:bottom w:val="single" w:color="auto" w:sz="4" w:space="0"/>
              <w:right w:val="single" w:color="auto" w:sz="4" w:space="0"/>
            </w:tcBorders>
            <w:vAlign w:val="center"/>
          </w:tcPr>
          <w:p w14:paraId="012FB75C">
            <w:pPr>
              <w:spacing w:line="360" w:lineRule="auto"/>
              <w:jc w:val="center"/>
              <w:rPr>
                <w:rFonts w:hint="eastAsia" w:ascii="仿宋" w:hAnsi="仿宋" w:eastAsia="仿宋" w:cs="仿宋"/>
                <w:bCs/>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618C08A">
            <w:pPr>
              <w:spacing w:line="360" w:lineRule="auto"/>
              <w:jc w:val="center"/>
              <w:rPr>
                <w:rFonts w:hint="eastAsia" w:ascii="仿宋" w:hAnsi="仿宋" w:eastAsia="仿宋" w:cs="仿宋"/>
                <w:bCs/>
                <w:color w:val="auto"/>
                <w:sz w:val="24"/>
                <w:szCs w:val="24"/>
                <w:highlight w:val="none"/>
              </w:rPr>
            </w:pPr>
          </w:p>
        </w:tc>
        <w:tc>
          <w:tcPr>
            <w:tcW w:w="1234" w:type="dxa"/>
            <w:tcBorders>
              <w:top w:val="single" w:color="auto" w:sz="4" w:space="0"/>
              <w:left w:val="single" w:color="auto" w:sz="4" w:space="0"/>
              <w:bottom w:val="single" w:color="auto" w:sz="4" w:space="0"/>
              <w:right w:val="single" w:color="auto" w:sz="6" w:space="0"/>
            </w:tcBorders>
            <w:vAlign w:val="center"/>
          </w:tcPr>
          <w:p w14:paraId="305CAB0C">
            <w:pPr>
              <w:spacing w:line="360" w:lineRule="auto"/>
              <w:jc w:val="center"/>
              <w:rPr>
                <w:rFonts w:hint="eastAsia" w:ascii="仿宋" w:hAnsi="仿宋" w:eastAsia="仿宋" w:cs="仿宋"/>
                <w:bCs/>
                <w:color w:val="auto"/>
                <w:sz w:val="24"/>
                <w:szCs w:val="24"/>
                <w:highlight w:val="none"/>
              </w:rPr>
            </w:pPr>
          </w:p>
        </w:tc>
      </w:tr>
    </w:tbl>
    <w:p w14:paraId="35CFF87D">
      <w:pPr>
        <w:spacing w:line="3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1.投标人随本表附业绩证明材料，有效业绩证明材料为投标人</w:t>
      </w:r>
      <w:r>
        <w:rPr>
          <w:rFonts w:hint="eastAsia" w:ascii="仿宋" w:hAnsi="仿宋" w:eastAsia="仿宋" w:cs="仿宋"/>
          <w:bCs/>
          <w:color w:val="auto"/>
          <w:sz w:val="24"/>
          <w:szCs w:val="24"/>
          <w:highlight w:val="none"/>
          <w:lang w:val="en-US" w:eastAsia="zh-CN"/>
        </w:rPr>
        <w:t>2022年以来签订的饮片供货业绩</w:t>
      </w:r>
      <w:r>
        <w:rPr>
          <w:rFonts w:hint="eastAsia" w:ascii="仿宋" w:hAnsi="仿宋" w:eastAsia="仿宋" w:cs="仿宋"/>
          <w:bCs/>
          <w:color w:val="auto"/>
          <w:sz w:val="24"/>
          <w:szCs w:val="24"/>
          <w:highlight w:val="none"/>
        </w:rPr>
        <w:t>（合同包括：合同首页、标的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金额所在页及合同签字盖章页）原件扫描件。无证明材料或证明材料不齐全、无法体现业绩内容的，不予认可。</w:t>
      </w:r>
    </w:p>
    <w:p w14:paraId="7A5D9E19">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2.投标人可根据实际情况拓展本表。</w:t>
      </w:r>
    </w:p>
    <w:p w14:paraId="38800FC0">
      <w:pPr>
        <w:pStyle w:val="10"/>
        <w:rPr>
          <w:rFonts w:hint="eastAsia" w:ascii="仿宋" w:hAnsi="仿宋" w:eastAsia="仿宋" w:cs="仿宋"/>
          <w:color w:val="auto"/>
          <w:highlight w:val="none"/>
        </w:rPr>
      </w:pPr>
    </w:p>
    <w:p w14:paraId="5D864B1C">
      <w:pPr>
        <w:shd w:val="clea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投标人（电子公章）：</w:t>
      </w:r>
      <w:r>
        <w:rPr>
          <w:rFonts w:hint="eastAsia" w:ascii="仿宋" w:hAnsi="仿宋" w:eastAsia="仿宋" w:cs="仿宋"/>
          <w:color w:val="auto"/>
          <w:sz w:val="24"/>
          <w:szCs w:val="24"/>
          <w:highlight w:val="none"/>
          <w:u w:val="single"/>
          <w:lang w:val="en-US" w:eastAsia="zh-CN"/>
        </w:rPr>
        <w:t xml:space="preserve">                        </w:t>
      </w:r>
    </w:p>
    <w:p w14:paraId="3CDC727C">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45ACFA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日期：</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日</w:t>
      </w:r>
    </w:p>
    <w:p w14:paraId="5242A1D2">
      <w:pPr>
        <w:pStyle w:val="10"/>
        <w:rPr>
          <w:rFonts w:hint="eastAsia" w:ascii="仿宋" w:hAnsi="仿宋" w:eastAsia="仿宋" w:cs="仿宋"/>
          <w:b/>
          <w:color w:val="auto"/>
          <w:szCs w:val="24"/>
          <w:highlight w:val="none"/>
        </w:rPr>
      </w:pPr>
    </w:p>
    <w:p w14:paraId="5C7AAB4B">
      <w:pPr>
        <w:pStyle w:val="19"/>
        <w:rPr>
          <w:rFonts w:hint="eastAsia" w:ascii="仿宋" w:hAnsi="仿宋" w:eastAsia="仿宋" w:cs="仿宋"/>
          <w:b/>
          <w:color w:val="auto"/>
          <w:szCs w:val="24"/>
          <w:highlight w:val="none"/>
        </w:rPr>
      </w:pPr>
    </w:p>
    <w:p w14:paraId="273AAC14">
      <w:pPr>
        <w:rPr>
          <w:rFonts w:hint="eastAsia" w:ascii="仿宋" w:hAnsi="仿宋" w:eastAsia="仿宋" w:cs="仿宋"/>
          <w:b/>
          <w:color w:val="auto"/>
          <w:szCs w:val="24"/>
          <w:highlight w:val="none"/>
        </w:rPr>
      </w:pPr>
    </w:p>
    <w:p w14:paraId="3B27FBC1">
      <w:pPr>
        <w:pStyle w:val="28"/>
        <w:rPr>
          <w:rFonts w:hint="eastAsia" w:ascii="仿宋" w:hAnsi="仿宋" w:eastAsia="仿宋" w:cs="仿宋"/>
          <w:b/>
          <w:color w:val="auto"/>
          <w:szCs w:val="24"/>
          <w:highlight w:val="none"/>
        </w:rPr>
      </w:pPr>
    </w:p>
    <w:p w14:paraId="71039507">
      <w:pPr>
        <w:pStyle w:val="28"/>
        <w:rPr>
          <w:rFonts w:hint="eastAsia" w:ascii="仿宋" w:hAnsi="仿宋" w:eastAsia="仿宋" w:cs="仿宋"/>
          <w:b/>
          <w:color w:val="auto"/>
          <w:szCs w:val="24"/>
          <w:highlight w:val="none"/>
        </w:rPr>
      </w:pPr>
    </w:p>
    <w:p w14:paraId="2B35B287">
      <w:pPr>
        <w:keepNext/>
        <w:keepLines/>
        <w:spacing w:before="60" w:after="60" w:line="360" w:lineRule="auto"/>
        <w:ind w:firstLine="723" w:firstLineChars="30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、投标人认为还需要提供的其他资料</w:t>
      </w:r>
    </w:p>
    <w:p w14:paraId="579279EA">
      <w:pPr>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79FA1463">
      <w:pPr>
        <w:adjustRightInd w:val="0"/>
        <w:snapToGrid w:val="0"/>
        <w:spacing w:line="360" w:lineRule="auto"/>
        <w:jc w:val="left"/>
        <w:rPr>
          <w:rFonts w:hint="eastAsia" w:ascii="仿宋" w:hAnsi="仿宋" w:eastAsia="仿宋" w:cs="仿宋"/>
          <w:color w:val="auto"/>
          <w:sz w:val="24"/>
          <w:szCs w:val="24"/>
          <w:highlight w:val="none"/>
        </w:rPr>
      </w:pPr>
    </w:p>
    <w:p w14:paraId="243D607E">
      <w:pPr>
        <w:adjustRightInd w:val="0"/>
        <w:snapToGrid w:val="0"/>
        <w:spacing w:line="360" w:lineRule="auto"/>
        <w:jc w:val="left"/>
        <w:rPr>
          <w:rFonts w:hint="eastAsia" w:ascii="仿宋" w:hAnsi="仿宋" w:eastAsia="仿宋" w:cs="仿宋"/>
          <w:color w:val="auto"/>
          <w:sz w:val="24"/>
          <w:szCs w:val="24"/>
          <w:highlight w:val="none"/>
        </w:rPr>
      </w:pPr>
    </w:p>
    <w:p w14:paraId="136DC45B">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651BB6C">
      <w:pPr>
        <w:pStyle w:val="28"/>
        <w:shd w:val="clear"/>
        <w:rPr>
          <w:rFonts w:hint="eastAsia" w:ascii="仿宋" w:hAnsi="仿宋" w:eastAsia="仿宋" w:cs="仿宋"/>
          <w:color w:val="auto"/>
          <w:highlight w:val="none"/>
        </w:rPr>
      </w:pPr>
    </w:p>
    <w:p w14:paraId="3655FC58">
      <w:pPr>
        <w:keepNext/>
        <w:keepLines/>
        <w:shd w:val="clear"/>
        <w:spacing w:before="60" w:after="60" w:line="360" w:lineRule="auto"/>
        <w:outlineLvl w:val="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16</w:t>
      </w:r>
      <w:r>
        <w:rPr>
          <w:rFonts w:hint="eastAsia" w:ascii="仿宋" w:hAnsi="仿宋" w:eastAsia="仿宋" w:cs="仿宋"/>
          <w:b/>
          <w:color w:val="auto"/>
          <w:sz w:val="24"/>
          <w:szCs w:val="24"/>
          <w:highlight w:val="none"/>
        </w:rPr>
        <w:t>、中小企业声明函</w:t>
      </w:r>
    </w:p>
    <w:p w14:paraId="050D5BF4">
      <w:pPr>
        <w:widowControl/>
        <w:shd w:val="clear"/>
        <w:spacing w:line="360" w:lineRule="auto"/>
        <w:ind w:firstLine="482" w:firstLineChars="200"/>
        <w:jc w:val="left"/>
        <w:rPr>
          <w:rFonts w:hint="eastAsia" w:ascii="仿宋" w:hAnsi="仿宋" w:eastAsia="仿宋" w:cs="仿宋"/>
          <w:b/>
          <w:bCs/>
          <w:color w:val="auto"/>
          <w:sz w:val="24"/>
          <w:szCs w:val="24"/>
          <w:highlight w:val="none"/>
        </w:rPr>
      </w:pPr>
    </w:p>
    <w:p w14:paraId="64C7DCA2">
      <w:pPr>
        <w:shd w:val="clear"/>
        <w:spacing w:line="480" w:lineRule="auto"/>
        <w:ind w:firstLine="506" w:firstLineChars="200"/>
        <w:jc w:val="center"/>
        <w:rPr>
          <w:rFonts w:hint="eastAsia" w:ascii="仿宋" w:hAnsi="仿宋" w:eastAsia="仿宋" w:cs="仿宋"/>
          <w:b/>
          <w:bCs/>
          <w:color w:val="auto"/>
          <w:spacing w:val="6"/>
          <w:sz w:val="24"/>
          <w:highlight w:val="none"/>
          <w:lang w:eastAsia="zh-CN"/>
        </w:rPr>
      </w:pPr>
      <w:r>
        <w:rPr>
          <w:rFonts w:hint="eastAsia" w:ascii="仿宋" w:hAnsi="仿宋" w:eastAsia="仿宋" w:cs="仿宋"/>
          <w:b/>
          <w:bCs/>
          <w:color w:val="auto"/>
          <w:spacing w:val="6"/>
          <w:sz w:val="24"/>
          <w:highlight w:val="none"/>
        </w:rPr>
        <w:t>中小企业声明函</w:t>
      </w:r>
    </w:p>
    <w:p w14:paraId="5467C7A0">
      <w:pPr>
        <w:shd w:val="clear"/>
        <w:snapToGrid w:val="0"/>
        <w:spacing w:line="480" w:lineRule="auto"/>
        <w:ind w:firstLine="504" w:firstLineChars="200"/>
        <w:rPr>
          <w:rFonts w:hint="eastAsia" w:ascii="仿宋" w:hAnsi="仿宋" w:eastAsia="仿宋" w:cs="仿宋"/>
          <w:bCs/>
          <w:color w:val="auto"/>
          <w:sz w:val="24"/>
          <w:highlight w:val="none"/>
        </w:rPr>
      </w:pPr>
      <w:r>
        <w:rPr>
          <w:rFonts w:hint="eastAsia" w:ascii="仿宋" w:hAnsi="仿宋" w:eastAsia="仿宋" w:cs="仿宋"/>
          <w:color w:val="auto"/>
          <w:spacing w:val="6"/>
          <w:sz w:val="24"/>
          <w:highlight w:val="none"/>
        </w:rPr>
        <w:t>本公司郑重声明，根据《政府采购促进中小企业发展管理办法》（财库﹝2020﹞46号）的规定，本公司参加</w:t>
      </w:r>
      <w:r>
        <w:rPr>
          <w:rFonts w:hint="eastAsia" w:ascii="仿宋" w:hAnsi="仿宋" w:eastAsia="仿宋" w:cs="仿宋"/>
          <w:color w:val="auto"/>
          <w:spacing w:val="6"/>
          <w:sz w:val="24"/>
          <w:highlight w:val="none"/>
          <w:u w:val="single"/>
        </w:rPr>
        <w:t>（单位名称）</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u w:val="single"/>
        </w:rPr>
        <w:t>（项目名称）</w:t>
      </w:r>
      <w:r>
        <w:rPr>
          <w:rFonts w:hint="eastAsia" w:ascii="仿宋" w:hAnsi="仿宋" w:eastAsia="仿宋" w:cs="仿宋"/>
          <w:color w:val="auto"/>
          <w:spacing w:val="6"/>
          <w:sz w:val="24"/>
          <w:highlight w:val="none"/>
        </w:rPr>
        <w:t>采购活动，</w:t>
      </w:r>
      <w:r>
        <w:rPr>
          <w:rFonts w:hint="eastAsia" w:ascii="仿宋" w:hAnsi="仿宋" w:eastAsia="仿宋" w:cs="仿宋"/>
          <w:bCs/>
          <w:color w:val="auto"/>
          <w:sz w:val="24"/>
          <w:highlight w:val="none"/>
        </w:rPr>
        <w:t>提供的货物全部由符合政策要求的中小企业制造。相关企业的具体情况如下：</w:t>
      </w:r>
    </w:p>
    <w:p w14:paraId="20E75C5D">
      <w:pPr>
        <w:shd w:val="clear"/>
        <w:snapToGrid w:val="0"/>
        <w:spacing w:line="48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u w:val="single"/>
        </w:rPr>
        <w:t>（标的名称）</w:t>
      </w:r>
      <w:r>
        <w:rPr>
          <w:rFonts w:hint="eastAsia" w:ascii="仿宋" w:hAnsi="仿宋" w:eastAsia="仿宋" w:cs="仿宋"/>
          <w:bCs/>
          <w:color w:val="auto"/>
          <w:sz w:val="24"/>
          <w:highlight w:val="none"/>
        </w:rPr>
        <w:t>，属于</w:t>
      </w:r>
      <w:r>
        <w:rPr>
          <w:rFonts w:hint="eastAsia" w:ascii="仿宋" w:hAnsi="仿宋" w:eastAsia="仿宋" w:cs="仿宋"/>
          <w:bCs/>
          <w:color w:val="auto"/>
          <w:sz w:val="24"/>
          <w:highlight w:val="none"/>
          <w:u w:val="single"/>
        </w:rPr>
        <w:t>（采购文件中明确的所属行业）</w:t>
      </w:r>
      <w:r>
        <w:rPr>
          <w:rFonts w:hint="eastAsia" w:ascii="仿宋" w:hAnsi="仿宋" w:eastAsia="仿宋" w:cs="仿宋"/>
          <w:bCs/>
          <w:color w:val="auto"/>
          <w:sz w:val="24"/>
          <w:highlight w:val="none"/>
        </w:rPr>
        <w:t>行业；制造商为</w:t>
      </w:r>
      <w:r>
        <w:rPr>
          <w:rFonts w:hint="eastAsia" w:ascii="仿宋" w:hAnsi="仿宋" w:eastAsia="仿宋" w:cs="仿宋"/>
          <w:bCs/>
          <w:color w:val="auto"/>
          <w:sz w:val="24"/>
          <w:highlight w:val="none"/>
          <w:u w:val="single"/>
        </w:rPr>
        <w:t>（企业名称）</w:t>
      </w:r>
      <w:r>
        <w:rPr>
          <w:rFonts w:hint="eastAsia" w:ascii="仿宋" w:hAnsi="仿宋" w:eastAsia="仿宋" w:cs="仿宋"/>
          <w:bCs/>
          <w:color w:val="auto"/>
          <w:sz w:val="24"/>
          <w:highlight w:val="none"/>
        </w:rPr>
        <w:t>，从业人员人人，营业收入为万元，资产总额为万元，属于</w:t>
      </w:r>
      <w:r>
        <w:rPr>
          <w:rFonts w:hint="eastAsia" w:ascii="仿宋" w:hAnsi="仿宋" w:eastAsia="仿宋" w:cs="仿宋"/>
          <w:bCs/>
          <w:color w:val="auto"/>
          <w:sz w:val="24"/>
          <w:highlight w:val="none"/>
          <w:u w:val="single"/>
        </w:rPr>
        <w:t>（中型企业、小型企业、微型企业）</w:t>
      </w:r>
      <w:r>
        <w:rPr>
          <w:rFonts w:hint="eastAsia" w:ascii="仿宋" w:hAnsi="仿宋" w:eastAsia="仿宋" w:cs="仿宋"/>
          <w:bCs/>
          <w:color w:val="auto"/>
          <w:sz w:val="24"/>
          <w:highlight w:val="none"/>
        </w:rPr>
        <w:t>；</w:t>
      </w:r>
    </w:p>
    <w:p w14:paraId="443D47C6">
      <w:pPr>
        <w:shd w:val="clear"/>
        <w:spacing w:line="480" w:lineRule="auto"/>
        <w:ind w:firstLine="480" w:firstLineChars="200"/>
        <w:rPr>
          <w:rFonts w:hint="eastAsia" w:ascii="仿宋" w:hAnsi="仿宋" w:eastAsia="仿宋" w:cs="仿宋"/>
          <w:color w:val="auto"/>
          <w:spacing w:val="6"/>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u w:val="single"/>
        </w:rPr>
        <w:t>（标的名称）</w:t>
      </w:r>
      <w:r>
        <w:rPr>
          <w:rFonts w:hint="eastAsia" w:ascii="仿宋" w:hAnsi="仿宋" w:eastAsia="仿宋" w:cs="仿宋"/>
          <w:bCs/>
          <w:color w:val="auto"/>
          <w:sz w:val="24"/>
          <w:highlight w:val="none"/>
        </w:rPr>
        <w:t>，属于</w:t>
      </w:r>
      <w:r>
        <w:rPr>
          <w:rFonts w:hint="eastAsia" w:ascii="仿宋" w:hAnsi="仿宋" w:eastAsia="仿宋" w:cs="仿宋"/>
          <w:bCs/>
          <w:color w:val="auto"/>
          <w:sz w:val="24"/>
          <w:highlight w:val="none"/>
          <w:u w:val="single"/>
        </w:rPr>
        <w:t>（采购文件中明确的所属行业）</w:t>
      </w:r>
      <w:r>
        <w:rPr>
          <w:rFonts w:hint="eastAsia" w:ascii="仿宋" w:hAnsi="仿宋" w:eastAsia="仿宋" w:cs="仿宋"/>
          <w:bCs/>
          <w:color w:val="auto"/>
          <w:sz w:val="24"/>
          <w:highlight w:val="none"/>
        </w:rPr>
        <w:t>行业；制造商为</w:t>
      </w:r>
      <w:r>
        <w:rPr>
          <w:rFonts w:hint="eastAsia" w:ascii="仿宋" w:hAnsi="仿宋" w:eastAsia="仿宋" w:cs="仿宋"/>
          <w:bCs/>
          <w:color w:val="auto"/>
          <w:sz w:val="24"/>
          <w:highlight w:val="none"/>
          <w:u w:val="single"/>
        </w:rPr>
        <w:t>（企业名称）</w:t>
      </w:r>
      <w:r>
        <w:rPr>
          <w:rFonts w:hint="eastAsia" w:ascii="仿宋" w:hAnsi="仿宋" w:eastAsia="仿宋" w:cs="仿宋"/>
          <w:bCs/>
          <w:color w:val="auto"/>
          <w:sz w:val="24"/>
          <w:highlight w:val="none"/>
        </w:rPr>
        <w:t>，从业人员</w:t>
      </w:r>
      <w:r>
        <w:rPr>
          <w:rFonts w:hint="eastAsia" w:ascii="仿宋" w:hAnsi="仿宋" w:eastAsia="仿宋" w:cs="仿宋"/>
          <w:bCs/>
          <w:color w:val="auto"/>
          <w:sz w:val="24"/>
          <w:highlight w:val="none"/>
          <w:lang w:eastAsia="zh-CN"/>
        </w:rPr>
        <w:t>人数</w:t>
      </w:r>
      <w:r>
        <w:rPr>
          <w:rFonts w:hint="eastAsia" w:ascii="仿宋" w:hAnsi="仿宋" w:eastAsia="仿宋" w:cs="仿宋"/>
          <w:bCs/>
          <w:color w:val="auto"/>
          <w:sz w:val="24"/>
          <w:highlight w:val="none"/>
        </w:rPr>
        <w:t>，营业收入为万元，资产总额为万元，属于</w:t>
      </w:r>
      <w:r>
        <w:rPr>
          <w:rFonts w:hint="eastAsia" w:ascii="仿宋" w:hAnsi="仿宋" w:eastAsia="仿宋" w:cs="仿宋"/>
          <w:bCs/>
          <w:color w:val="auto"/>
          <w:sz w:val="24"/>
          <w:highlight w:val="none"/>
          <w:u w:val="single"/>
        </w:rPr>
        <w:t>（中型企业、小型企业、微型企业）</w:t>
      </w:r>
      <w:r>
        <w:rPr>
          <w:rFonts w:hint="eastAsia" w:ascii="仿宋" w:hAnsi="仿宋" w:eastAsia="仿宋" w:cs="仿宋"/>
          <w:bCs/>
          <w:color w:val="auto"/>
          <w:sz w:val="24"/>
          <w:highlight w:val="none"/>
        </w:rPr>
        <w:t>；</w:t>
      </w:r>
    </w:p>
    <w:p w14:paraId="27ED32C7">
      <w:pPr>
        <w:shd w:val="clear"/>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p>
    <w:p w14:paraId="4D79D38B">
      <w:pPr>
        <w:widowControl/>
        <w:shd w:val="clear"/>
        <w:spacing w:line="360" w:lineRule="auto"/>
        <w:ind w:firstLine="504" w:firstLineChars="200"/>
        <w:jc w:val="left"/>
        <w:rPr>
          <w:rFonts w:hint="eastAsia" w:ascii="仿宋" w:hAnsi="仿宋" w:eastAsia="仿宋" w:cs="仿宋"/>
          <w:color w:val="auto"/>
          <w:spacing w:val="6"/>
          <w:sz w:val="24"/>
          <w:szCs w:val="22"/>
          <w:highlight w:val="none"/>
        </w:rPr>
      </w:pPr>
      <w:r>
        <w:rPr>
          <w:rFonts w:hint="eastAsia" w:ascii="仿宋" w:hAnsi="仿宋" w:eastAsia="仿宋" w:cs="仿宋"/>
          <w:color w:val="auto"/>
          <w:spacing w:val="6"/>
          <w:sz w:val="24"/>
          <w:szCs w:val="22"/>
          <w:highlight w:val="none"/>
        </w:rPr>
        <w:t>以上企业，不属于大企业的分支机构，不存在控股股东为大企业的情形，也不存在与大企业的负责人为同一人的情形。</w:t>
      </w:r>
    </w:p>
    <w:p w14:paraId="40DA9068">
      <w:pPr>
        <w:widowControl/>
        <w:shd w:val="clear"/>
        <w:spacing w:line="360" w:lineRule="auto"/>
        <w:ind w:firstLine="50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highlight w:val="none"/>
        </w:rPr>
        <w:t>本企业对上述声明内容的真实性负责。如有虚假，将依法承担相应责任。</w:t>
      </w:r>
    </w:p>
    <w:p w14:paraId="31C19BD2">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p>
    <w:p w14:paraId="6099CB64">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投标人（电子公章）</w:t>
      </w:r>
      <w:r>
        <w:rPr>
          <w:rFonts w:hint="eastAsia" w:ascii="仿宋" w:hAnsi="仿宋" w:eastAsia="仿宋" w:cs="仿宋"/>
          <w:color w:val="auto"/>
          <w:sz w:val="24"/>
          <w:szCs w:val="24"/>
          <w:highlight w:val="none"/>
        </w:rPr>
        <w:t>：</w:t>
      </w:r>
    </w:p>
    <w:p w14:paraId="13D4F760">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AB72A38">
      <w:pPr>
        <w:shd w:val="clea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日期：年月日</w:t>
      </w:r>
    </w:p>
    <w:p w14:paraId="1E0886AF">
      <w:pPr>
        <w:shd w:val="clear"/>
        <w:spacing w:line="360" w:lineRule="auto"/>
        <w:rPr>
          <w:rFonts w:hint="eastAsia" w:ascii="仿宋" w:hAnsi="仿宋" w:eastAsia="仿宋" w:cs="仿宋"/>
          <w:b/>
          <w:bCs/>
          <w:color w:val="auto"/>
          <w:sz w:val="24"/>
          <w:szCs w:val="24"/>
          <w:highlight w:val="none"/>
        </w:rPr>
      </w:pPr>
    </w:p>
    <w:p w14:paraId="351D79D6">
      <w:pPr>
        <w:shd w:val="clea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注：1、从业人员、营业收入、资产总额填报上一年度数据，无上一年度数据的新成立企业可不填报</w:t>
      </w:r>
    </w:p>
    <w:p w14:paraId="77568730">
      <w:pPr>
        <w:shd w:val="clea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2、本项目属于工业</w:t>
      </w:r>
    </w:p>
    <w:p w14:paraId="56F083C3">
      <w:pPr>
        <w:widowControl/>
        <w:shd w:val="clea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EF8D860">
      <w:pPr>
        <w:shd w:val="clear"/>
        <w:spacing w:line="360" w:lineRule="auto"/>
        <w:rPr>
          <w:rFonts w:hint="eastAsia" w:ascii="仿宋" w:hAnsi="仿宋" w:eastAsia="仿宋" w:cs="仿宋"/>
          <w:color w:val="auto"/>
          <w:sz w:val="24"/>
          <w:szCs w:val="24"/>
          <w:highlight w:val="none"/>
        </w:rPr>
      </w:pPr>
    </w:p>
    <w:p w14:paraId="07DB8453">
      <w:pPr>
        <w:keepNext/>
        <w:keepLines/>
        <w:shd w:val="clear"/>
        <w:spacing w:before="60" w:after="60"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17</w:t>
      </w:r>
      <w:r>
        <w:rPr>
          <w:rFonts w:hint="eastAsia" w:ascii="仿宋" w:hAnsi="仿宋" w:eastAsia="仿宋" w:cs="仿宋"/>
          <w:b/>
          <w:color w:val="auto"/>
          <w:sz w:val="24"/>
          <w:szCs w:val="24"/>
          <w:highlight w:val="none"/>
        </w:rPr>
        <w:t>、残疾人福利性单位声明函</w:t>
      </w:r>
    </w:p>
    <w:p w14:paraId="5E4FE1AF">
      <w:pPr>
        <w:shd w:val="clear"/>
        <w:tabs>
          <w:tab w:val="left" w:pos="5580"/>
        </w:tabs>
        <w:spacing w:line="360" w:lineRule="auto"/>
        <w:jc w:val="center"/>
        <w:rPr>
          <w:rFonts w:hint="eastAsia" w:ascii="仿宋" w:hAnsi="仿宋" w:eastAsia="仿宋" w:cs="仿宋"/>
          <w:b/>
          <w:color w:val="auto"/>
          <w:sz w:val="28"/>
          <w:highlight w:val="none"/>
        </w:rPr>
      </w:pPr>
    </w:p>
    <w:p w14:paraId="3A2E5F3B">
      <w:pPr>
        <w:shd w:val="clear"/>
        <w:tabs>
          <w:tab w:val="left" w:pos="5580"/>
        </w:tabs>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《残疾人福利性单位声明函》（原件扫描件。符合《三部门联合发布关于促进残疾人就业政府采购政策的通知》财库〔2017〕141号价格扣减条件的投标人须提交）</w:t>
      </w:r>
    </w:p>
    <w:p w14:paraId="6086EBAC">
      <w:pPr>
        <w:bidi w:val="0"/>
        <w:rPr>
          <w:rStyle w:val="26"/>
          <w:rFonts w:hint="eastAsia" w:ascii="仿宋" w:hAnsi="仿宋" w:eastAsia="仿宋" w:cs="仿宋"/>
          <w:color w:val="auto"/>
          <w:spacing w:val="8"/>
          <w:sz w:val="28"/>
          <w:szCs w:val="28"/>
          <w:highlight w:val="none"/>
          <w:shd w:val="clear" w:color="auto" w:fill="FCFCFC"/>
        </w:rPr>
      </w:pPr>
    </w:p>
    <w:p w14:paraId="236BE321">
      <w:pPr>
        <w:shd w:val="clear"/>
        <w:tabs>
          <w:tab w:val="left" w:pos="5580"/>
        </w:tabs>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残疾人福利性单位声明函</w:t>
      </w:r>
    </w:p>
    <w:p w14:paraId="24405FEC">
      <w:pPr>
        <w:shd w:val="clear"/>
        <w:spacing w:line="360" w:lineRule="auto"/>
        <w:ind w:firstLine="504" w:firstLineChars="200"/>
        <w:rPr>
          <w:rFonts w:hint="eastAsia" w:ascii="仿宋" w:hAnsi="仿宋" w:eastAsia="仿宋" w:cs="仿宋"/>
          <w:color w:val="auto"/>
          <w:spacing w:val="6"/>
          <w:sz w:val="24"/>
          <w:szCs w:val="24"/>
          <w:highlight w:val="none"/>
        </w:rPr>
      </w:pPr>
    </w:p>
    <w:p w14:paraId="5C86CEE8">
      <w:pPr>
        <w:shd w:val="clea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E4B532">
      <w:pPr>
        <w:shd w:val="clea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9059DB8">
      <w:pPr>
        <w:shd w:val="clea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lang w:eastAsia="zh-CN"/>
        </w:rPr>
      </w:pPr>
    </w:p>
    <w:p w14:paraId="51880B15">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投标人（电子公章）</w:t>
      </w:r>
      <w:r>
        <w:rPr>
          <w:rFonts w:hint="eastAsia" w:ascii="仿宋" w:hAnsi="仿宋" w:eastAsia="仿宋" w:cs="仿宋"/>
          <w:color w:val="auto"/>
          <w:sz w:val="24"/>
          <w:szCs w:val="24"/>
          <w:highlight w:val="none"/>
        </w:rPr>
        <w:t>：</w:t>
      </w:r>
    </w:p>
    <w:p w14:paraId="0DE5682A">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302DB57D">
      <w:pPr>
        <w:shd w:val="clea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日期：年月日</w:t>
      </w:r>
    </w:p>
    <w:p w14:paraId="649CF97A">
      <w:pPr>
        <w:shd w:val="clea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p>
    <w:p w14:paraId="75A85D94">
      <w:pPr>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符合条件的残疾人福利性单位在参加政府采购活动时，应当按《三部门联合发布关于促进残疾人就业政府采购政策的通知》（财库〔2017〕141号）提供规定的《残疾人福利性单位声明函》，并对声明的真实性负责。</w:t>
      </w:r>
    </w:p>
    <w:p w14:paraId="2279DF06">
      <w:pPr>
        <w:shd w:val="clear"/>
        <w:spacing w:line="360" w:lineRule="auto"/>
        <w:ind w:firstLine="480" w:firstLineChars="200"/>
        <w:rPr>
          <w:rFonts w:hint="eastAsia" w:ascii="仿宋" w:hAnsi="仿宋" w:eastAsia="仿宋" w:cs="仿宋"/>
          <w:color w:val="auto"/>
          <w:sz w:val="24"/>
          <w:highlight w:val="none"/>
        </w:rPr>
      </w:pPr>
    </w:p>
    <w:p w14:paraId="65EC4ED0">
      <w:pPr>
        <w:pStyle w:val="4"/>
        <w:shd w:val="clear"/>
        <w:spacing w:line="360" w:lineRule="auto"/>
        <w:ind w:firstLine="0"/>
        <w:outlineLvl w:val="2"/>
        <w:rPr>
          <w:rFonts w:hint="eastAsia" w:ascii="仿宋" w:hAnsi="仿宋" w:eastAsia="仿宋" w:cs="仿宋"/>
          <w:b/>
          <w:bCs/>
          <w:color w:val="auto"/>
          <w:szCs w:val="28"/>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18</w:t>
      </w:r>
      <w:r>
        <w:rPr>
          <w:rFonts w:hint="eastAsia" w:ascii="仿宋" w:hAnsi="仿宋" w:eastAsia="仿宋" w:cs="仿宋"/>
          <w:b/>
          <w:color w:val="auto"/>
          <w:sz w:val="24"/>
          <w:szCs w:val="24"/>
          <w:highlight w:val="none"/>
        </w:rPr>
        <w:t>、监狱企业证明文件</w:t>
      </w:r>
    </w:p>
    <w:p w14:paraId="799B2783">
      <w:pPr>
        <w:shd w:val="clear"/>
        <w:spacing w:line="360" w:lineRule="auto"/>
        <w:jc w:val="left"/>
        <w:rPr>
          <w:rFonts w:hint="eastAsia" w:ascii="仿宋" w:hAnsi="仿宋" w:eastAsia="仿宋" w:cs="仿宋"/>
          <w:b/>
          <w:color w:val="auto"/>
          <w:szCs w:val="21"/>
          <w:highlight w:val="none"/>
        </w:rPr>
      </w:pPr>
    </w:p>
    <w:p w14:paraId="4A48B1E9">
      <w:pPr>
        <w:shd w:val="clear"/>
        <w:tabs>
          <w:tab w:val="left" w:pos="558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《监狱企业证明文件》（原件</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符合《财政部司法部关于政府采购支持监狱企业发展有关问题的通知》财库</w:t>
      </w:r>
      <w:r>
        <w:rPr>
          <w:rFonts w:hint="eastAsia" w:ascii="仿宋" w:hAnsi="仿宋" w:eastAsia="仿宋" w:cs="仿宋"/>
          <w:b/>
          <w:color w:val="auto"/>
          <w:sz w:val="24"/>
          <w:highlight w:val="none"/>
          <w:lang w:eastAsia="zh-CN"/>
        </w:rPr>
        <w:t>〔2014〕68号</w:t>
      </w:r>
      <w:r>
        <w:rPr>
          <w:rFonts w:hint="eastAsia" w:ascii="仿宋" w:hAnsi="仿宋" w:eastAsia="仿宋" w:cs="仿宋"/>
          <w:b/>
          <w:color w:val="auto"/>
          <w:sz w:val="24"/>
          <w:highlight w:val="none"/>
        </w:rPr>
        <w:t>价格扣减条件的投标人须提交）</w:t>
      </w:r>
    </w:p>
    <w:p w14:paraId="3C811FAE">
      <w:pPr>
        <w:shd w:val="clea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监狱企业证明文件</w:t>
      </w:r>
    </w:p>
    <w:p w14:paraId="77762BEE">
      <w:pPr>
        <w:shd w:val="clear"/>
        <w:spacing w:line="360" w:lineRule="auto"/>
        <w:ind w:firstLine="480" w:firstLineChars="200"/>
        <w:jc w:val="left"/>
        <w:rPr>
          <w:rFonts w:hint="eastAsia" w:ascii="仿宋" w:hAnsi="仿宋" w:eastAsia="仿宋" w:cs="仿宋"/>
          <w:color w:val="auto"/>
          <w:sz w:val="24"/>
          <w:highlight w:val="none"/>
        </w:rPr>
      </w:pPr>
    </w:p>
    <w:p w14:paraId="35CDAF02">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D2295C">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14:paraId="22E1A12B">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投标人（电子公章）</w:t>
      </w:r>
      <w:r>
        <w:rPr>
          <w:rFonts w:hint="eastAsia" w:ascii="仿宋" w:hAnsi="仿宋" w:eastAsia="仿宋" w:cs="仿宋"/>
          <w:color w:val="auto"/>
          <w:sz w:val="24"/>
          <w:szCs w:val="24"/>
          <w:highlight w:val="none"/>
        </w:rPr>
        <w:t>：</w:t>
      </w:r>
    </w:p>
    <w:p w14:paraId="3E7EBDB5">
      <w:pPr>
        <w:shd w:val="clea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562E4602">
      <w:pPr>
        <w:shd w:val="clea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日期：年月日</w:t>
      </w:r>
    </w:p>
    <w:p w14:paraId="037F01FD">
      <w:pPr>
        <w:widowControl/>
        <w:shd w:val="clear"/>
        <w:spacing w:line="360" w:lineRule="auto"/>
        <w:jc w:val="left"/>
        <w:rPr>
          <w:rFonts w:hint="eastAsia" w:ascii="仿宋" w:hAnsi="仿宋" w:eastAsia="仿宋" w:cs="仿宋"/>
          <w:b/>
          <w:color w:val="auto"/>
          <w:sz w:val="24"/>
          <w:highlight w:val="none"/>
        </w:rPr>
      </w:pPr>
    </w:p>
    <w:p w14:paraId="31260534">
      <w:pPr>
        <w:widowControl/>
        <w:shd w:val="clear"/>
        <w:spacing w:line="360" w:lineRule="auto"/>
        <w:jc w:val="left"/>
        <w:rPr>
          <w:rFonts w:hint="eastAsia" w:ascii="仿宋" w:hAnsi="仿宋" w:eastAsia="仿宋" w:cs="仿宋"/>
          <w:color w:val="auto"/>
          <w:sz w:val="28"/>
          <w:highlight w:val="none"/>
        </w:rPr>
      </w:pPr>
      <w:r>
        <w:rPr>
          <w:rFonts w:hint="eastAsia" w:ascii="仿宋" w:hAnsi="仿宋" w:eastAsia="仿宋" w:cs="仿宋"/>
          <w:b/>
          <w:color w:val="auto"/>
          <w:szCs w:val="24"/>
          <w:highlight w:val="none"/>
        </w:rPr>
        <w:t>注：符合条件的监狱企业在参加政府采购活动时，应当按《财政部司法部关于政府采购支持监狱企业发展有关问题的通知》（财库</w:t>
      </w:r>
      <w:r>
        <w:rPr>
          <w:rFonts w:hint="eastAsia" w:ascii="仿宋" w:hAnsi="仿宋" w:eastAsia="仿宋" w:cs="仿宋"/>
          <w:b/>
          <w:color w:val="auto"/>
          <w:szCs w:val="24"/>
          <w:highlight w:val="none"/>
          <w:lang w:eastAsia="zh-CN"/>
        </w:rPr>
        <w:t>〔2014〕68号</w:t>
      </w:r>
      <w:r>
        <w:rPr>
          <w:rFonts w:hint="eastAsia" w:ascii="仿宋" w:hAnsi="仿宋" w:eastAsia="仿宋" w:cs="仿宋"/>
          <w:b/>
          <w:color w:val="auto"/>
          <w:szCs w:val="24"/>
          <w:highlight w:val="none"/>
        </w:rPr>
        <w:t>）提供规定的《监狱企业证明文件》，并对声明的真实性负责。</w:t>
      </w:r>
    </w:p>
    <w:p w14:paraId="3BA6DD24">
      <w:pPr>
        <w:shd w:val="clear"/>
        <w:spacing w:line="360" w:lineRule="auto"/>
        <w:rPr>
          <w:rFonts w:hint="eastAsia" w:ascii="仿宋" w:hAnsi="仿宋" w:eastAsia="仿宋" w:cs="仿宋"/>
          <w:color w:val="auto"/>
          <w:highlight w:val="none"/>
        </w:rPr>
      </w:pPr>
    </w:p>
    <w:p w14:paraId="02184092">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587"/>
    <w:bookmarkEnd w:id="588"/>
    <w:bookmarkEnd w:id="589"/>
    <w:bookmarkEnd w:id="613"/>
    <w:bookmarkEnd w:id="614"/>
    <w:bookmarkEnd w:id="615"/>
    <w:bookmarkEnd w:id="622"/>
    <w:p w14:paraId="628F925B">
      <w:pPr>
        <w:pStyle w:val="2"/>
        <w:numPr>
          <w:ilvl w:val="0"/>
          <w:numId w:val="6"/>
        </w:numPr>
        <w:shd w:val="clear"/>
        <w:outlineLvl w:val="0"/>
        <w:rPr>
          <w:rFonts w:hint="eastAsia" w:ascii="仿宋" w:hAnsi="仿宋" w:eastAsia="仿宋" w:cs="仿宋"/>
          <w:color w:val="auto"/>
          <w:highlight w:val="none"/>
        </w:rPr>
      </w:pPr>
      <w:bookmarkStart w:id="654" w:name="_Toc20864"/>
      <w:bookmarkStart w:id="655" w:name="_Toc31916"/>
      <w:bookmarkStart w:id="656" w:name="_Toc13082"/>
      <w:bookmarkStart w:id="657" w:name="_Toc28450"/>
      <w:r>
        <w:rPr>
          <w:rFonts w:hint="eastAsia" w:ascii="仿宋" w:hAnsi="仿宋" w:eastAsia="仿宋" w:cs="仿宋"/>
          <w:color w:val="auto"/>
          <w:highlight w:val="none"/>
          <w:lang w:val="en-US" w:eastAsia="zh-CN"/>
        </w:rPr>
        <w:t xml:space="preserve"> </w:t>
      </w:r>
      <w:bookmarkStart w:id="658" w:name="_Toc27493"/>
      <w:r>
        <w:rPr>
          <w:rFonts w:hint="eastAsia" w:ascii="仿宋" w:hAnsi="仿宋" w:eastAsia="仿宋" w:cs="仿宋"/>
          <w:color w:val="auto"/>
          <w:highlight w:val="none"/>
        </w:rPr>
        <w:t>采购需求</w:t>
      </w:r>
      <w:bookmarkEnd w:id="658"/>
    </w:p>
    <w:p w14:paraId="3FCD0045">
      <w:pPr>
        <w:pStyle w:val="3"/>
        <w:numPr>
          <w:ilvl w:val="0"/>
          <w:numId w:val="7"/>
        </w:numPr>
        <w:bidi w:val="0"/>
        <w:rPr>
          <w:rFonts w:hint="eastAsia" w:ascii="仿宋" w:hAnsi="仿宋" w:eastAsia="仿宋" w:cs="仿宋"/>
        </w:rPr>
      </w:pPr>
      <w:bookmarkStart w:id="659" w:name="_Toc21194"/>
      <w:r>
        <w:rPr>
          <w:rFonts w:hint="eastAsia" w:ascii="仿宋" w:hAnsi="仿宋" w:eastAsia="仿宋" w:cs="仿宋"/>
        </w:rPr>
        <w:t>采购标的需实现的功能或者目标</w:t>
      </w:r>
      <w:bookmarkEnd w:id="659"/>
    </w:p>
    <w:p w14:paraId="53CDD772">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sz w:val="24"/>
          <w:szCs w:val="22"/>
          <w:highlight w:val="none"/>
          <w:lang w:val="en-US" w:eastAsia="zh-CN"/>
        </w:rPr>
        <w:t>①永胜县中医医院中药饮片采购，中标人负责中药饮片供应、运输、装卸、售后等，实际供应品种和数量以招标人分次委托为准。</w:t>
      </w:r>
    </w:p>
    <w:p w14:paraId="685C7712">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②供货时限：接到招标人通知后，分批次按采购方要求完成所有中药饮片的供货，在接到采购通知后，急需中药饮片要求24小时配送到位，一般中药饮片不超过5个工作日，并能保证一周内多次配送，供货时需附带中药饮片每批次每种中药饮片检验报告书。</w:t>
      </w:r>
    </w:p>
    <w:p w14:paraId="49295CC0">
      <w:pPr>
        <w:pStyle w:val="3"/>
        <w:numPr>
          <w:ilvl w:val="0"/>
          <w:numId w:val="7"/>
        </w:numPr>
        <w:bidi w:val="0"/>
        <w:rPr>
          <w:rFonts w:hint="eastAsia" w:ascii="仿宋" w:hAnsi="仿宋" w:eastAsia="仿宋" w:cs="仿宋"/>
          <w:color w:val="auto"/>
          <w:highlight w:val="none"/>
        </w:rPr>
      </w:pPr>
      <w:bookmarkStart w:id="660" w:name="_Toc10296"/>
      <w:r>
        <w:rPr>
          <w:rFonts w:hint="eastAsia" w:ascii="仿宋" w:hAnsi="仿宋" w:eastAsia="仿宋" w:cs="仿宋"/>
          <w:color w:val="auto"/>
          <w:highlight w:val="none"/>
        </w:rPr>
        <w:t>采购标的需执行的国家相关标准、行业标准、地方标准或者其他标准、规范</w:t>
      </w:r>
      <w:bookmarkEnd w:id="660"/>
    </w:p>
    <w:p w14:paraId="32DF73E0">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sz w:val="24"/>
          <w:szCs w:val="22"/>
          <w:highlight w:val="none"/>
          <w:lang w:val="en-US" w:eastAsia="zh-CN"/>
        </w:rPr>
        <w:t>质量标准：应符合现行《中华人民共和国药典》的相关规定，《药典》中未收载的中药，应符合部颁、省级中药饮片质量标准，或者执行国家、省、自治区、直辖市管理部门的有关规定。</w:t>
      </w:r>
    </w:p>
    <w:p w14:paraId="7EF13CC3">
      <w:pPr>
        <w:pStyle w:val="3"/>
        <w:numPr>
          <w:ilvl w:val="0"/>
          <w:numId w:val="7"/>
        </w:numPr>
        <w:bidi w:val="0"/>
        <w:rPr>
          <w:rFonts w:hint="eastAsia" w:ascii="仿宋" w:hAnsi="仿宋" w:eastAsia="仿宋" w:cs="仿宋"/>
          <w:color w:val="auto"/>
          <w:highlight w:val="none"/>
        </w:rPr>
      </w:pPr>
      <w:bookmarkStart w:id="661" w:name="_Toc27977"/>
      <w:r>
        <w:rPr>
          <w:rFonts w:hint="eastAsia" w:ascii="仿宋" w:hAnsi="仿宋" w:eastAsia="仿宋" w:cs="仿宋"/>
          <w:color w:val="auto"/>
          <w:highlight w:val="none"/>
        </w:rPr>
        <w:t>采购标的需满足的质量、安全、服务等要求</w:t>
      </w:r>
      <w:bookmarkEnd w:id="661"/>
    </w:p>
    <w:p w14:paraId="6828BC78">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①合同履行期限：自合同签订之日起，至预算金额用完为止，医院每年对供货方进行质量、服务、履约能力考核，考核合格后续签合同。对不可抗力、招标人预算及业务调整、国家及省市集中采购等因素不能再实施本项目的，招标人将以书面形式告知中标人，并有权单方面终止项目合同的执行，招标人对此不承担任何责任。在合同期内出现两次以上质量问题退货或两次以上逾期交货的，整改期间或整改后仍出现同样问题，招标人有权解除合同。</w:t>
      </w:r>
    </w:p>
    <w:p w14:paraId="4B7C2F04">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②保质期：以</w:t>
      </w:r>
      <w:r>
        <w:rPr>
          <w:rFonts w:hint="eastAsia" w:ascii="仿宋" w:hAnsi="仿宋" w:eastAsia="仿宋" w:cs="仿宋"/>
          <w:color w:val="auto"/>
          <w:sz w:val="24"/>
          <w:szCs w:val="22"/>
          <w:highlight w:val="none"/>
          <w:lang w:val="en-US" w:eastAsia="zh-CN"/>
        </w:rPr>
        <w:t>中药</w:t>
      </w:r>
      <w:r>
        <w:rPr>
          <w:rFonts w:hint="eastAsia" w:ascii="仿宋" w:hAnsi="仿宋" w:eastAsia="仿宋" w:cs="仿宋"/>
          <w:color w:val="auto"/>
          <w:sz w:val="24"/>
          <w:szCs w:val="24"/>
          <w:highlight w:val="none"/>
          <w:lang w:val="en-US" w:eastAsia="zh-CN"/>
        </w:rPr>
        <w:t>饮片生产企业标签标注的保质期为准，但中标人应确保招标人在收货时中药饮片标签标注剩余保质期天数不得低于总保质期天数的80%。</w:t>
      </w:r>
    </w:p>
    <w:p w14:paraId="617A4472">
      <w:pPr>
        <w:pStyle w:val="3"/>
        <w:bidi w:val="0"/>
        <w:rPr>
          <w:rFonts w:hint="eastAsia" w:ascii="仿宋" w:hAnsi="仿宋" w:eastAsia="仿宋" w:cs="仿宋"/>
        </w:rPr>
      </w:pPr>
      <w:bookmarkStart w:id="662" w:name="_Toc21877"/>
      <w:r>
        <w:rPr>
          <w:rFonts w:hint="eastAsia" w:ascii="仿宋" w:hAnsi="仿宋" w:eastAsia="仿宋" w:cs="仿宋"/>
          <w:lang w:val="en-US" w:eastAsia="zh-CN"/>
        </w:rPr>
        <w:t>4.</w:t>
      </w:r>
      <w:r>
        <w:rPr>
          <w:rFonts w:hint="eastAsia" w:ascii="仿宋" w:hAnsi="仿宋" w:eastAsia="仿宋" w:cs="仿宋"/>
        </w:rPr>
        <w:t>采购标的的数量、采购项目交付或者实施的时间和地点</w:t>
      </w:r>
      <w:bookmarkEnd w:id="662"/>
    </w:p>
    <w:p w14:paraId="24D4573C">
      <w:pPr>
        <w:keepNext w:val="0"/>
        <w:keepLines w:val="0"/>
        <w:pageBreakBefore w:val="0"/>
        <w:numPr>
          <w:ilvl w:val="0"/>
          <w:numId w:val="0"/>
        </w:numPr>
        <w:kinsoku/>
        <w:wordWrap/>
        <w:overflowPunct/>
        <w:topLinePunct w:val="0"/>
        <w:bidi w:val="0"/>
        <w:snapToGrid/>
        <w:spacing w:line="360" w:lineRule="auto"/>
        <w:ind w:right="0" w:rightChars="0"/>
        <w:textAlignment w:val="auto"/>
        <w:rPr>
          <w:rFonts w:hint="eastAsia" w:ascii="仿宋" w:hAnsi="仿宋" w:eastAsia="仿宋" w:cs="仿宋"/>
          <w:bCs/>
          <w:color w:val="auto"/>
          <w:spacing w:val="10"/>
          <w:kern w:val="0"/>
          <w:sz w:val="24"/>
          <w:szCs w:val="24"/>
          <w:highlight w:val="none"/>
          <w:lang w:val="en-US" w:eastAsia="zh-CN" w:bidi="ar-SA"/>
        </w:rPr>
      </w:pPr>
      <w:r>
        <w:rPr>
          <w:rFonts w:hint="eastAsia" w:ascii="仿宋" w:hAnsi="仿宋" w:eastAsia="仿宋" w:cs="仿宋"/>
          <w:bCs/>
          <w:color w:val="auto"/>
          <w:spacing w:val="10"/>
          <w:kern w:val="0"/>
          <w:sz w:val="24"/>
          <w:szCs w:val="24"/>
          <w:highlight w:val="none"/>
          <w:lang w:val="en-US" w:eastAsia="zh-CN" w:bidi="ar-SA"/>
        </w:rPr>
        <w:t>4.1.采购清单</w:t>
      </w:r>
    </w:p>
    <w:tbl>
      <w:tblPr>
        <w:tblStyle w:val="23"/>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605"/>
        <w:gridCol w:w="713"/>
        <w:gridCol w:w="955"/>
        <w:gridCol w:w="918"/>
        <w:gridCol w:w="2204"/>
        <w:gridCol w:w="1263"/>
      </w:tblGrid>
      <w:tr w14:paraId="5FF4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23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8E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18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31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形态</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C2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30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单价（元/kg）</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20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2F7A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29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BF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阿胶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60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9C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C3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83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3289.00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352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663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EB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9F8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艾绒</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43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82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94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1F2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7DD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D31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E5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E2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艾叶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1A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AF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8D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68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4457">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4687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4F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1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巴戟天</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E1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FA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DE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2DF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624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C9D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6F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EC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白矾</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69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4D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0D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6F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314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092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6E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DAB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白附片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B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D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8F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2F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01A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634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0A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8D6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白果仁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1A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74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2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E78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19D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5C8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F9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14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白花蛇舌草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6B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BA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87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D4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CDB3">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E55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6E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04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白及</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22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47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4A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E9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54C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40D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BA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35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白芥子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18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02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B3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DD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A0E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770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FC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FF6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3C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5D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E5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3E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B8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FDC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A3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7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白茅根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02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F4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B5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C3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709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46E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05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0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D5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CE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A3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AB0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526">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2D3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C1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67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0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E6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E9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0B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0369">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4616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8B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2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白头翁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D2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FF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83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406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E28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7C9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79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E2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9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6A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CF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3E1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21.70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89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830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4B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E62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白鲜皮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88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D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F4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33C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E22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12B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56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46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21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25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15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EC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8B1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8C8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E8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7A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百部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53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33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6F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CA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58C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16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6C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98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百合</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DF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C5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3C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0F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DB1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A8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A5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81B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柏子仁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A4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59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26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6E0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5A9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E4C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D9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58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败酱草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6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4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85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B1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0BD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57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03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F7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板蓝根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57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E8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54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5F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2D7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592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B7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C9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半枝莲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27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96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B7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D3B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BF6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311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26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83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薄荷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2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08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EC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26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CAF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6C6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B7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3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北柴胡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20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E5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D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4F6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A97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1AF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CE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28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北沙参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E6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10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8C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8A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87A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94C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39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3B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荜茇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77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41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81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578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87A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104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94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19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荜澄茄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D4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C1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78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F0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910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FFB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D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30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萹蓄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8C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02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1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996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55C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2F7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86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E6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鳖甲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42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A7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77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AF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6E5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C5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A0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DAE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槟榔</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8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98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3E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E64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070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8F8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CF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11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冰片（合成龙脑）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AF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0A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0A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36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F77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D08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D8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9C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补骨脂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1A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97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24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B54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EEA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505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63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30E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苍术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20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3F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2E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17C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977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CBC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09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F4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草豆蔻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B5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BF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66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91B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C9B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8C3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90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11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草果仁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64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EA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E5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41B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B23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B51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B5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0D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侧柏炭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58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07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C9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20B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1FB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10E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D7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59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蝉蜕</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D0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EF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73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8A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1794">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3A7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CA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612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炒艾叶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1C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BD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3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D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B3C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622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5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C2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炒白扁豆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B2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4D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7E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B9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C76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DF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4B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00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炒苍耳子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4B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4D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E9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DE6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DB1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081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F7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7C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炒川楝子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D8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E4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99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8C2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62D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E51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93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B2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炒稻芽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37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27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D4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0F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170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4ED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0B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047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炒谷芽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4D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A2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3E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A78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21F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6FB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05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E5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炒鸡内金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D4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9A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A9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E6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D4B5">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6AE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E0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1BB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炒莱菔子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F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82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2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D9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5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25B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0C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77D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炒理枣仁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1D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2E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3B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0EE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0DF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E17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6E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B1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炒麦芽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4C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2C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11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6A4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706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93C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71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E27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炒牛蒡子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57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14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CB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62C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16E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4C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A8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CE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炒山楂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F5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5D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DF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20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0A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D0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8E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3D8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炒酸枣仁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05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E5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BA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A2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466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551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64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ABB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炒王不留行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95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29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13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938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73D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F5F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6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B0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炒栀子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3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33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31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5FB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B1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A2F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22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8E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车前子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D6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7C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18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5B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3D7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E1F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84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B9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陈皮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BC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0B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50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AF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088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0D4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A4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53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赤芍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FD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B2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BD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1BE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419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F00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C6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4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赤石脂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0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69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6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80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8DD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55D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93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F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赤小豆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C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B9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AD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8EA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481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E0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D6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5F8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川贝母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59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D8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72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D28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4600.00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6F66">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68D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EB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CA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川楝子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B9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C6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1E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F71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11E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90B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D2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03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川牛膝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8F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56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0B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0E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A5C5">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03FC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68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69E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川芎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F5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6E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FD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019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078A">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6F7A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96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FFC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磁石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E8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AB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6D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24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EEF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DC6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8A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D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醋艾炭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C0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0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6A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2F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C82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565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54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CC1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醋鳖甲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6A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E3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CA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B7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344.00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8C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E11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5B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78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醋滇柴胡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B3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91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D7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B8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8B67">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F3A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5B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C1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醋没药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B0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9E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4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7F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352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443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3C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AE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醋乳香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6E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1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03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1C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D5F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A2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09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35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醋五灵脂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F9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19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CF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12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D4D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1B6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BD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AA3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醋香附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3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B0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D3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0D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EEF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6A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D1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D6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醋延胡索</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48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5A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99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D8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237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CC2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62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2D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大腹皮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BE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C6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10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00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54A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57D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0A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CA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B2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C6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92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3A7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9F5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20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AD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C2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大蓟</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D1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A3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49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8E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388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5EA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D1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B8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大青叶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C8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E1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8A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20B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A96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AD0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2F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2C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大血藤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EE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85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9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DF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2D7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27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E1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40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大枣</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A2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0F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13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FD7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1E5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FB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CA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96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丹参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08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3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0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9B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D8F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565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68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A26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胆南星</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57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56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D4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15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153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9B6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20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176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淡竹叶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2F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A1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55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34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E75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298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5F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EC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当归</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D9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EF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EF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DA2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C1A8">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6085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A1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83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EF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党参片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FB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5E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C2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555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A5CD">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E56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5F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09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稻芽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F0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3F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99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84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352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6B9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9D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96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地肤子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CB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DE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E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18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E8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A5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B9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251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地骨皮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D9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59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74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FB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FB7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08B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5E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87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648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78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36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7F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9F2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E085">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56D1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6F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C89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04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DD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B1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9A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953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F30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84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16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19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D3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0D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B2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228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431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79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2B8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地榆炭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BB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CA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20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19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5D3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335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E8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9E6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滇柴胡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6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8A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28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BED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33D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F61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C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C6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滇紫草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45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7E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C5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EEF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DD3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A5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C3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0D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丁香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0A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E5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43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1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90AE">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58E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70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299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冬瓜子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E4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FB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EA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8A4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C85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74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0A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905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冬葵果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23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53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AC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4B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CE3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683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A6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BC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豆蔻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74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EA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8E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F71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2B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5B4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A9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33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独活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96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22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AF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D05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378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673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4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AF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杜仲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A9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3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91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89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AE5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1E2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69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41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煅龙骨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9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CB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23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973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271.00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6F7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54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51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09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煅牡蛎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4D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3C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C6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598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B1B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B39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96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96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煅瓦楞子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88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F8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34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BB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BD3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B8C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8D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0ED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煅自然铜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53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52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65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6BC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7F5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FAB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8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A0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莪术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57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CC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17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20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D85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178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AD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E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法半夏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7F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B3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91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1DD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27C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4CE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36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902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番泻叶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C4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6D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2E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5E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486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548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6C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40B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防风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46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9E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1E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69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E2D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198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72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8CA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防己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0C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26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67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67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D94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00B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DD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0B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粉萆薢</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5B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9D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A9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B6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A7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855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AF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B5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蜂房</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13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0B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52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BF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EF2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8F7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5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10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麸炒白术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18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15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C0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C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36B8">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7E7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93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542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麸炒苍术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68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85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F7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60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271.00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428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D62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3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F5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麸炒枳壳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90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49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7F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7A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497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0F9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06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46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佛手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AA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B7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4F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8C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929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D09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44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9B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茯苓</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64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4F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2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FF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7C71">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D8E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5A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0C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茯神</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76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43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30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1D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8C3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C62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9F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8F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浮小麦</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C3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52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85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21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AF5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B4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BF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F6A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覆盆子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52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AB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C0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8E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6C2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D87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BA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42C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甘草片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B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DC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EC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B1F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5FE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DAC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2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1F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甘松</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9A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97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A1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C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547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71F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D8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D4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3C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96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A7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3F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C3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40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D6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D3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干石斛</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1B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72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5C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9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34C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FA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C6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5E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干益母草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95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31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23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E6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985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8E3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BA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8C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干鱼腥草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44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6F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3A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0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97C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8C2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35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BB8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高良姜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93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1F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97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ACE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E9B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B45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ED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85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藁本片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E9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CE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7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7C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E96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1A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CD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76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葛根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39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3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AD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A7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521C">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0298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20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79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葛花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91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58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9E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6B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134.40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FCC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BD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76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F3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钩藤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88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6B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17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7CB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560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7AD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4A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978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狗脊</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84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E4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9B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60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6B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A2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CE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8C0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枸杞子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30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A5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53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22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A6D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EC3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D7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B7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谷精草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20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FF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C3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44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6B0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42F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B5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C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谷芽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EF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B7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63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A77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DA0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8F7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0C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ED2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骨碎补</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D4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51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AC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F6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0CF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517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E7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FB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瓜蒌皮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40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C6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F8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B2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E55C">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56CC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5B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2DD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瓜蒌子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17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78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62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B31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98D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44A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3B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6B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贯众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B7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DD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34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BCA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4C0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325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58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27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龟甲胶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84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FC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07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3BF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2927.50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B88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EC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FE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28D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鬼箭羽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A0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24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C8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A6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175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134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2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EE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桂枝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22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4A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0D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A9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B0F4">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864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CF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C42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海风藤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3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35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4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39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1E2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FFC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0C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FA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海金沙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59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1E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0B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FA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667.00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22E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85B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D9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F8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海螵蛸</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91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DC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24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D73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B42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3B4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10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1F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海桐皮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C7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37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0F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BCD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F21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908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3C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6B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A4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C3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7D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60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92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0C0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DF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D2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诃子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89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2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C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6E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690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A0A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D1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92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合欢皮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C8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B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28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8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286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58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AB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FF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何首乌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93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2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98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F83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32B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9D8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A8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9A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荷叶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20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B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EB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FAD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651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AA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76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60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黑附片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86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24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4F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8BC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934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A57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39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E2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EF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87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26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22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0C1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752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93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1C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F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F7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1D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BE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ED8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CB6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DF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23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厚朴</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27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6A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76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2D5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3B7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A1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34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64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胡黄连</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C4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4F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9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E0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50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480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FE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956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虎杖</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71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3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B2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70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BFD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E19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3E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C2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琥珀</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D7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F5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49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6E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2CF">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63EA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5A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A0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花椒</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5B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5F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AD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3F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190.00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EDD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5D7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77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FD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滑石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C3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A2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D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C46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0D0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1E7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9C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426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化橘红</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DA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3A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7A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7F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D2C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899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C5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9E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槐花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89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9E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26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6B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E20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14D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B2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F8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槐米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33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7F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C6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A2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77F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4C0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14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96E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66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39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E0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330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89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E9B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EF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640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黄精</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67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A3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4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19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D5D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DA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8D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50E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黄连片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BA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0E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8D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52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33BB">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44E1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E3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164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337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黄芪</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2A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2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02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E3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3163">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A5D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E3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18B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黄芩片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70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A1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1C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7E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9B7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72F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B4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EA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回心草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ED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CC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A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0D6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631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13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6F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DE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火麻仁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4C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3C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B8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8A3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803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BBC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2D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26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藿香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71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4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5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10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E6B2">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52D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3C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A2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鸡内金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B4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46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07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00A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7D5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075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96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78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鸡血藤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B8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AF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96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8B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4C3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91E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3C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A99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蒺藜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33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42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8D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B5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27B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DE4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E7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1C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建曲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7D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4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F4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31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5EE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95B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CD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48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姜半夏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16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85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52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7D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F2A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08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0E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A4D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姜黄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B7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9C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D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CB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6F0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FF0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01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FA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僵蚕</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3C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0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A8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09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CE7A">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C71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F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30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绞股蓝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E8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F7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E5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36D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0F1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F01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30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79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金钱草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0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C8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9E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D18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7D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D99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E3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063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金银花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37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F4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EB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AE0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2CC6">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A72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39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01E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金樱子肉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1B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40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BD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E3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01A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3BF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96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94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荆芥</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C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CE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10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53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175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E85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98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65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荆芥炭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7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B6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29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F9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8F2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FA2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F8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B4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酒白芍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34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82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6B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D02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B04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690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25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B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酒当归</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F9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C4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A8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FDC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D43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D78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7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CE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酒黄芩</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02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AB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B7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97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C68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0B2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9C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DFF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酒女贞子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14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7C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45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962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092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080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2E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82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酒续断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43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53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22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03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D17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15D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1D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8A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酒萸肉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DA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49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37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961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805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83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18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DA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桔梗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7F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73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95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BD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ED3A">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753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B4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42C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菊花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4C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DC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1E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6E0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4D77">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878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D5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72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橘核</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1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5A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EA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40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08A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F70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3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0DE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橘络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20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D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50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E4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CC7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6B9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9E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3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决明子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81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32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0F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1CD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E95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2EE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8F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D72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苦参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59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DC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FC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F5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751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120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FA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EB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苦杏仁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31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57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3D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7CE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7B7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CBF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2B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9B0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款冬花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C8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E0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DB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93C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370.00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A35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040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F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42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昆布</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23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2E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0F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D42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797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4C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6F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40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莱菔子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91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28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4B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21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975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134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8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DF2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老鹳草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5C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E4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23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07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0DA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94A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06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8B1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雷公藤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98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2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16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888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ED0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D3B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31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907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荔枝核</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42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F4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09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973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45E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10C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10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74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连翘</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0F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73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C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590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9EC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44C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B4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A9B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莲子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6D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33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BA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F8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4B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983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33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CC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灵芝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EA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12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16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D0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266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77B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19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7B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龙胆草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A7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F3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05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A3C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89E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442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98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FA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B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E3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0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380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448.00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BA5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AC8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64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F8B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龙血竭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29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DB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38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A3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896.00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F04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CAD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4C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86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龙眼肉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42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6B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E2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5E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A8D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0B3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7B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CC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芦根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57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40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B8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0B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354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500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A6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57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芦子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BD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85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33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6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31D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689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3B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D5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鹿角胶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D8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68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39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87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D98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CD0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22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D87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鹿衔草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5F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14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A8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D8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91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01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77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887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路路通</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2D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83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A4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AC7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CD7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31B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6E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A4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罗布麻叶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6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49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8E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D1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456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AC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19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DC0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络石藤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1E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6A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6C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E7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5E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F56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93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4B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8B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22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BE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32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F86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9180CD9">
        <w:tblPrEx>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53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44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麻黄根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50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04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50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2F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7C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408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70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7C1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马勃</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14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15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00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21D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6492.00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4E5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AC3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C6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46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马齿苋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88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D7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85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A49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4F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FDF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88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9D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麦冬</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64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1A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FA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C9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3084">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FD8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B3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B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麦芽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BF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DE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EB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B5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4A2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A04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15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DE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蔓荆子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92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F2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A5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51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F34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AFB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4E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5B8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芒硝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6A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69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41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778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387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434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E4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7E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猫爪草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F6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75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4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50E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BF3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C85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DB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BB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没药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15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60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9F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6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EB7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930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12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AE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玫瑰花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7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4C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E1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37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6B7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DCC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6C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28D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密蒙花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7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43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5B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669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541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7D2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53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E2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蜜百部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02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5C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48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3C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5267">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5E86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0A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5FF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蜜款冬花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B2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D6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D4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FF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E08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586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FE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4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蜜麻黄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10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B9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62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F25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6FD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1E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C7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E90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蜜枇杷叶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C9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1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02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D2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F69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ED5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B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054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蜜桑白皮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49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73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C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11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B65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FE5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5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C81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蜜升麻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EA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09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60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B6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4140">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61C9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9B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13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蜜紫菀</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69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D4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C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858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CA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C2C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F5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49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绵萆薢</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D0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74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2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F9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93D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F2B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D2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3E8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墨旱莲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21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26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D1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05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2F1E">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C6F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1B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F1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牡丹皮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76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51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1D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3B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C307">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574B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5B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DEB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牡蛎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A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2B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54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375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2CA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31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C6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7C1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F1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57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E8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29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5E5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FD8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1B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E2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木蝴蝶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BD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C7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93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C3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DFD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0C1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AF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9E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木通</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0B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24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01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E0C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BF5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AC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42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F1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2E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47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E6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76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EF0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505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1D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242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01C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南沙参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D1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9A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3F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2F6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0EB3">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500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3F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E7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牛蒡子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98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23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B7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229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57E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12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B9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292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牛膝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E3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02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12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FE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AB6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EEC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AB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B7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女贞子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F4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0E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46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95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367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5E3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52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CC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藕节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E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3F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7F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F5A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030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49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C3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58E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藕节炭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54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7B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78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2F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F71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884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15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0A5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胖大海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42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4F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DE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87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AA3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C10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EE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16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炮姜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5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60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00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B3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C94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7E6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64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581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佩兰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C4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53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D0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33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5AD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5B5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B7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6A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枇杷叶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86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F9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64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4D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90A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5C9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AC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55C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蒲公英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85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91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5D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AEC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FD8F">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E96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C8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D7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千里光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20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1E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5C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5EA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EB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D6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43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20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千年健</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59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3C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EF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63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88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58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8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660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牵牛子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09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AC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81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81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65C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D31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3B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3D8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前胡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B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47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CC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9C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399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934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C7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386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芡实</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72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16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89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028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800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DB4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D0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FA4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茜草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7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2C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EF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E2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436.00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0B7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DE5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3F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EC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羌活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A9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CB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DD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79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270.00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B88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A04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9E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2DA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秦艽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8B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9D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B4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3E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970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83A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AA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5C7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秦皮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3E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22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54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29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A71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587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8D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CE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青风藤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9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CD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A4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86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FC3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147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D4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04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A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13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99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FD1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38.80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C9F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4DA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B4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B6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青蒿</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8F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61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BA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7A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A5B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514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B0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CA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7F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7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2E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57A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405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28C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6D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0E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瞿麦</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74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DB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5F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99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F1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99A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D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1CA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2F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AB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A4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77F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4650.00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DB6E">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551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0D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6C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人参片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58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E9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3B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C9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95E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F67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91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FAB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忍冬藤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6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1F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80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B5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271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9D2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C4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65E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肉苁蓉片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44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95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F3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3E9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B94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2B7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D0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B41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肉豆蔻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6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68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D4D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80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9E0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79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59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肉桂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9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14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2E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15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C8F3">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0CCA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79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3DE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乳香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3E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4C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CB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2B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BD2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64C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77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5A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A3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16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1C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DEF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5F8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94B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47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98B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三七</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76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08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A3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31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A5E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C2C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C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973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桑白皮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7A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7C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2D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3D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6A4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7E8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51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88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桑寄生</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44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64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14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D7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76C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788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07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2D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桑螵蛸</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D4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A6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DB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85E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1290.00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35D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C68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03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E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78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1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A9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97B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E63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F0B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57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D5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6C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A2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01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71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3DD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3C6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57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06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桑枝</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8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66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53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63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460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95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A3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5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沙苑子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57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B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0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2B2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630.00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16D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70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99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828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砂仁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62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BA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E8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99D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6E18">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1805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56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496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山豆根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26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EF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63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3D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D06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202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1A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409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山奈</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CB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F5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F3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C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A6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1F2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D4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AC1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山药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3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1C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A4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05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884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336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42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FAB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山萸肉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D8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38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43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8E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169.00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91D5">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19B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9D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8BC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山楂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F7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DE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75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15D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595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71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14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E3D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蛇床子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0D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A5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31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EF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630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90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EF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17F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CC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B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3F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2E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BF1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C38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3E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0F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伸筋草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75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35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CB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09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9DB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1D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74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53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升麻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B9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F3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34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E7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CCF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A43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F6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D92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生草乌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87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69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2D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BC5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1E5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毒</w:t>
            </w:r>
          </w:p>
        </w:tc>
      </w:tr>
      <w:tr w14:paraId="3CF4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95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090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生川乌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3B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E7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6D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A3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9BD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毒</w:t>
            </w:r>
          </w:p>
        </w:tc>
      </w:tr>
      <w:tr w14:paraId="0060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CF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CA9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生马钱子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00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79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B4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598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E23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毒</w:t>
            </w:r>
          </w:p>
        </w:tc>
      </w:tr>
      <w:tr w14:paraId="735D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47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AE1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生蒲黄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89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6F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B9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6E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A82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EC3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B6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7F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生石膏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F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98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B4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34A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C44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7DD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3C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6D8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石菖蒲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31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EB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10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362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1A3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0CF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D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3E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石见穿</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8B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12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0B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F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C7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367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F9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BF8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石决明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78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53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04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39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2B1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E8C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E0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32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石韦</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A2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B7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A3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60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1EA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A6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14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E2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首乌藤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8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A6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54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E6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B1C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46C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51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88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熟地黄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0C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55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A7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8A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A45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64B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BE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80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水牛角</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E4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AA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4D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6C4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CD6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901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0D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121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3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05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E3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75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2946.00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D29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046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9B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AD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丝瓜络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BE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FB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FB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25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958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E7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0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95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苏木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93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7C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82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67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FA6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A2F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8D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B3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酸枣仁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6A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F3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4F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972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726D">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4771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A9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D58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锁阳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9A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5D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BF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FA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BB0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ACD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EA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969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太子参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E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C1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7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A2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5C5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58B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40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36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烫狗脊</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E1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90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A9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9A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783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74C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FE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0D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桃仁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85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B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FC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464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B65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FB3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B3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F3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天冬</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4D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C9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3D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39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9DC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A82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80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75D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天花粉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53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70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6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1C4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673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E01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F1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51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E0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EA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CA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BD3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3E1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50A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33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447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葶苈子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CB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B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6B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0B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590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F1F4536">
        <w:tblPrEx>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84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1D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通草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9C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57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9F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23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1280.00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2BC0">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7012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C0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B93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透骨草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08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09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50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10A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1E8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C2C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A6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A19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土鳖虫</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B4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E5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B9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387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3FC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29F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51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D51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土茯苓</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E8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5E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16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0F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332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374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BB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70A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菟丝子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69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FE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24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8B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26B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003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BC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E9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王不留行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1B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4C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3C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B86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961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3C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5A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3B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威灵仙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46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45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FE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19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ED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2E9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CA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A5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乌梅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91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6F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17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3D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1DD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531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FD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7A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乌梢蛇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BA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D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EE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3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1750.00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81C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344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0A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855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乌药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C3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0E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6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FC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EEB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EF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F8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6BB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吴茱萸</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53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3A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FC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77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3B99">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02CD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1B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A5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蜈蚣</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14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77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D3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25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4180.00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A236">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9DF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1E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F9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五倍子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75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46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1A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46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4F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552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29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69E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五灵脂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81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E8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C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C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FCF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74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38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A1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五味子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8E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6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B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A3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402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491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37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89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西洋参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5A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02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56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D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802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BBC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D8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03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豨莶草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45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B9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83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326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E9F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6D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F8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55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细辛</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7A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FE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0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D2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765.00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614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F84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29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39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夏枯草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A3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B8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2D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F4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241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236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E4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16C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仙鹤草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A3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FA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3C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67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ED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2FF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0E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780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仙茅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A5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E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E7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E6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E96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09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87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E4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BB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89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4C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0F8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A5F2">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47B2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BF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636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香加皮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DF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37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D3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64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730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975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FF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4FF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52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7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F0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34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2F5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9E9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25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0FC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小红参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51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B8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0D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76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0A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E4F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6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921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小茴香</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D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CA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A1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CB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8EA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5FD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A0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D7B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小蓟</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FA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BA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F2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7A9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3AB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65B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0B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59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小通草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E2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42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C6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5CB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29A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172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F7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A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薤白</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EB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58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43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E7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616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60B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26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85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辛夷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8F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67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48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A0A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9D2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CCD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D6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60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雄黄粉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70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03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1F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988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EDB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毒</w:t>
            </w:r>
          </w:p>
        </w:tc>
      </w:tr>
      <w:tr w14:paraId="1CF3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ED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03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徐长卿</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A1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0A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7A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162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CC0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8C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65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E4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续断片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9C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28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CD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228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5EB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8AB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B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586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玄参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7C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FF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10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46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6EC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844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B7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BB9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旋覆花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DD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A7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05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53B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C2B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87B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2A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C99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雪上一枝蒿</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68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05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3A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D1A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9CA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毒</w:t>
            </w:r>
          </w:p>
        </w:tc>
      </w:tr>
      <w:tr w14:paraId="0676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7B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57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鸦胆子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85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C1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BB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58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123.80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BFD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8A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D5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62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延胡索</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F2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9E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78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4B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252.00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E2C8">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41D0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4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DAB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盐杜仲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70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38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52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82E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365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E3F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19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420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盐黄柏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CF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07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55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37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7C4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7FA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D5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18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盐益智仁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71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86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98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6D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E66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A2E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3B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55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野菊花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97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24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BA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20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81D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BB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4E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0AB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益智仁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CF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77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18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A79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6D2F">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F57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26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39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薏苡仁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5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46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59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6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5969">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5F45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B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54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茵陈</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E9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32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CA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2C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9E7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838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35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CF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银柴胡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EC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A0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A3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AD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326.00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3ED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22B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A1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ED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淫羊藿</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15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55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6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2F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80ED">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3958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D3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D1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玉竹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45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31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71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57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131.00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8EC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091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B3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5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郁金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AF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63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88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0D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53.00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F40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EEC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42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115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郁李仁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CC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91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C3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CE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208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271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78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4C0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远志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D0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1A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81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4B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424.00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5F2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B1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7E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0C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皂角刺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B7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60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0A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F0B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BED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5C2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64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32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泽兰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FF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EC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E8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5DB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370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BC6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FD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575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泽泻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3C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21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6A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E7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B7E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64B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06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6FE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樟木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F3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B3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07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456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A1E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5D0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7B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67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赭石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1E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C3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DB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431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FEB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34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B8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98D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浙贝母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28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E2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7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A73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F57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609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50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5B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珍珠母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72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4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2C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98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DF8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7B4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3F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9FC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知母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26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87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27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38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9EE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79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32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8E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栀子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BF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81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61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E2A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F78D">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418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88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EA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枳壳</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F7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14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C6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9D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FE5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D86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A6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E1C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枳实</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B4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26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DA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341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B50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C91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9E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D6C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制白附子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4C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D3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0E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DC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1CF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3BB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A9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8D5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制草乌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88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40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E5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54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469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190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5E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5F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制川乌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A5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2C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1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C2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FD9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B4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4B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21D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制何首乌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19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6D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96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47C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81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06D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F2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3F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制天南星</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F9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F8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0E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EC9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ACA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A66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D2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1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制远志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6B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F9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72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C2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5942">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2A04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66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AF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炙甘草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B5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C5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AD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6F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4E3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A3A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F1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23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炙黄芪</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74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FC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12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E6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29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9B8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5A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FF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炙淫羊霍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4B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BE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2D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F6C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3E8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43D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C6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DB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重楼</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F0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44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21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D0F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607.00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69AA">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5836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37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EF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朱砂粉</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70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97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F7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52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1380.00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A2D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EDB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61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3CE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猪苓</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C8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DB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18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A77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275.00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ABE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A2B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61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74D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竹茹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CE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07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64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212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D0F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100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82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F5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紫地榆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BE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A9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86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A62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171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932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1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9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紫花地丁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39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A7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92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41A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CFA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09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A6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B6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紫石英</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85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78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0B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4C2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BD5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B45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90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F5B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紫苏叶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6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BF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C5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7D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154.00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F226">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提供样品</w:t>
            </w:r>
          </w:p>
        </w:tc>
      </w:tr>
      <w:tr w14:paraId="0B25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C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92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紫苏子</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5C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FA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D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828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F23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7FC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53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47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紫菀</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DF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6B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11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EF9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7A7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0F7544F2">
      <w:pPr>
        <w:pStyle w:val="28"/>
        <w:keepNext w:val="0"/>
        <w:keepLines w:val="0"/>
        <w:pageBreakBefore w:val="0"/>
        <w:kinsoku/>
        <w:wordWrap/>
        <w:overflowPunct/>
        <w:topLinePunct w:val="0"/>
        <w:bidi w:val="0"/>
        <w:snapToGrid/>
        <w:spacing w:before="0" w:after="0" w:line="360" w:lineRule="auto"/>
        <w:ind w:right="0" w:firstLine="522" w:firstLineChars="200"/>
        <w:textAlignment w:val="auto"/>
        <w:rPr>
          <w:rFonts w:hint="eastAsia" w:ascii="仿宋" w:hAnsi="仿宋" w:eastAsia="仿宋" w:cs="仿宋"/>
          <w:b/>
          <w:color w:val="FF0000"/>
          <w:sz w:val="24"/>
          <w:szCs w:val="24"/>
          <w:highlight w:val="none"/>
          <w:lang w:val="en-US" w:eastAsia="zh-CN"/>
        </w:rPr>
      </w:pPr>
      <w:r>
        <w:rPr>
          <w:rFonts w:hint="eastAsia" w:ascii="仿宋" w:hAnsi="仿宋" w:eastAsia="仿宋" w:cs="仿宋"/>
          <w:b/>
          <w:color w:val="FF0000"/>
          <w:sz w:val="24"/>
          <w:szCs w:val="24"/>
          <w:highlight w:val="none"/>
          <w:lang w:val="en-US" w:eastAsia="zh-CN"/>
        </w:rPr>
        <w:t>注：</w:t>
      </w:r>
      <w:r>
        <w:rPr>
          <w:rFonts w:hint="eastAsia" w:ascii="仿宋" w:hAnsi="仿宋" w:eastAsia="仿宋" w:cs="仿宋"/>
          <w:b/>
          <w:bCs/>
          <w:color w:val="FF0000"/>
          <w:sz w:val="24"/>
          <w:szCs w:val="24"/>
          <w:highlight w:val="none"/>
          <w:lang w:val="en-US" w:eastAsia="zh-CN"/>
        </w:rPr>
        <w:t>“※”的产品为核心产品</w:t>
      </w:r>
      <w:r>
        <w:rPr>
          <w:rFonts w:hint="eastAsia" w:ascii="仿宋" w:hAnsi="仿宋" w:eastAsia="仿宋" w:cs="仿宋"/>
          <w:b/>
          <w:color w:val="FF0000"/>
          <w:sz w:val="24"/>
          <w:szCs w:val="24"/>
          <w:highlight w:val="none"/>
          <w:lang w:val="en-US" w:eastAsia="zh-CN"/>
        </w:rPr>
        <w:t>”</w:t>
      </w:r>
    </w:p>
    <w:p w14:paraId="79A86CC2">
      <w:pPr>
        <w:pStyle w:val="3"/>
        <w:bidi w:val="0"/>
        <w:rPr>
          <w:rFonts w:hint="eastAsia" w:ascii="仿宋" w:hAnsi="仿宋" w:eastAsia="仿宋" w:cs="仿宋"/>
        </w:rPr>
      </w:pPr>
      <w:bookmarkStart w:id="663" w:name="_Toc8326"/>
      <w:r>
        <w:rPr>
          <w:rFonts w:hint="eastAsia" w:ascii="仿宋" w:hAnsi="仿宋" w:eastAsia="仿宋" w:cs="仿宋"/>
          <w:lang w:val="en-US" w:eastAsia="zh-CN"/>
        </w:rPr>
        <w:t>5.</w:t>
      </w:r>
      <w:r>
        <w:rPr>
          <w:rFonts w:hint="eastAsia" w:ascii="仿宋" w:hAnsi="仿宋" w:eastAsia="仿宋" w:cs="仿宋"/>
        </w:rPr>
        <w:t>采购标的需满足的服务标准要求</w:t>
      </w:r>
      <w:bookmarkEnd w:id="663"/>
    </w:p>
    <w:p w14:paraId="2843C29B">
      <w:pPr>
        <w:widowControl w:val="0"/>
        <w:spacing w:line="360" w:lineRule="auto"/>
        <w:ind w:firstLine="480" w:firstLineChars="200"/>
        <w:jc w:val="both"/>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①服务标准：投标人所供应饮片的质量应符合国家饮片相关标准及招标人的要求；所提供的饮片来源清晰，具有稳定性，采购流程符合相关的手续要求，生产工艺先进，具有包装及运输方案，退换货流程等，</w:t>
      </w:r>
      <w:r>
        <w:rPr>
          <w:rFonts w:hint="eastAsia" w:ascii="仿宋" w:hAnsi="仿宋" w:eastAsia="仿宋" w:cs="仿宋"/>
          <w:color w:val="auto"/>
          <w:kern w:val="2"/>
          <w:sz w:val="24"/>
          <w:szCs w:val="24"/>
          <w:highlight w:val="none"/>
          <w:lang w:val="en-US" w:eastAsia="zh-CN" w:bidi="ar-SA"/>
        </w:rPr>
        <w:t>质量控制严谨，具有相应的质量保证措施及违约承诺，售后服务内容全面，具备一定的仓储能力及相关的经验。</w:t>
      </w:r>
    </w:p>
    <w:p w14:paraId="6E115A61">
      <w:pPr>
        <w:pStyle w:val="3"/>
        <w:bidi w:val="0"/>
        <w:rPr>
          <w:rFonts w:hint="eastAsia" w:ascii="仿宋" w:hAnsi="仿宋" w:eastAsia="仿宋" w:cs="仿宋"/>
        </w:rPr>
      </w:pPr>
      <w:bookmarkStart w:id="664" w:name="_Toc30598"/>
      <w:r>
        <w:rPr>
          <w:rFonts w:hint="eastAsia" w:ascii="仿宋" w:hAnsi="仿宋" w:eastAsia="仿宋" w:cs="仿宋"/>
          <w:lang w:val="en-US" w:eastAsia="zh-CN"/>
        </w:rPr>
        <w:t>6.</w:t>
      </w:r>
      <w:r>
        <w:rPr>
          <w:rFonts w:hint="eastAsia" w:ascii="仿宋" w:hAnsi="仿宋" w:eastAsia="仿宋" w:cs="仿宋"/>
        </w:rPr>
        <w:t>采购标的的验收标准</w:t>
      </w:r>
      <w:bookmarkEnd w:id="664"/>
    </w:p>
    <w:p w14:paraId="118E7F92">
      <w:pPr>
        <w:widowControl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
        </w:rPr>
        <w:t>①到货验收：</w:t>
      </w:r>
      <w:r>
        <w:rPr>
          <w:rFonts w:hint="eastAsia" w:ascii="仿宋" w:hAnsi="仿宋" w:eastAsia="仿宋" w:cs="仿宋"/>
          <w:color w:val="auto"/>
          <w:sz w:val="24"/>
          <w:szCs w:val="24"/>
          <w:highlight w:val="none"/>
          <w:lang w:val="en-US" w:eastAsia="zh-CN"/>
        </w:rPr>
        <w:t>饮片</w:t>
      </w:r>
      <w:r>
        <w:rPr>
          <w:rFonts w:hint="eastAsia" w:ascii="仿宋" w:hAnsi="仿宋" w:eastAsia="仿宋" w:cs="仿宋"/>
          <w:color w:val="auto"/>
          <w:sz w:val="24"/>
          <w:szCs w:val="24"/>
          <w:highlight w:val="none"/>
        </w:rPr>
        <w:t>交付前，</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应对</w:t>
      </w:r>
      <w:r>
        <w:rPr>
          <w:rFonts w:hint="eastAsia" w:ascii="仿宋" w:hAnsi="仿宋" w:eastAsia="仿宋" w:cs="仿宋"/>
          <w:color w:val="auto"/>
          <w:sz w:val="24"/>
          <w:szCs w:val="24"/>
          <w:highlight w:val="none"/>
          <w:lang w:val="en-US" w:eastAsia="zh-CN"/>
        </w:rPr>
        <w:t>饮片</w:t>
      </w:r>
      <w:r>
        <w:rPr>
          <w:rFonts w:hint="eastAsia" w:ascii="仿宋" w:hAnsi="仿宋" w:eastAsia="仿宋" w:cs="仿宋"/>
          <w:color w:val="auto"/>
          <w:sz w:val="24"/>
          <w:szCs w:val="24"/>
          <w:highlight w:val="none"/>
        </w:rPr>
        <w:t>的质量、数量等方面进行详细、全面的检验，并向</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出具证明</w:t>
      </w:r>
      <w:r>
        <w:rPr>
          <w:rFonts w:hint="eastAsia" w:ascii="仿宋" w:hAnsi="仿宋" w:eastAsia="仿宋" w:cs="仿宋"/>
          <w:color w:val="auto"/>
          <w:sz w:val="24"/>
          <w:szCs w:val="24"/>
          <w:highlight w:val="none"/>
          <w:lang w:val="en-US" w:eastAsia="zh-CN"/>
        </w:rPr>
        <w:t>饮片</w:t>
      </w:r>
      <w:r>
        <w:rPr>
          <w:rFonts w:hint="eastAsia" w:ascii="仿宋" w:hAnsi="仿宋" w:eastAsia="仿宋" w:cs="仿宋"/>
          <w:color w:val="auto"/>
          <w:sz w:val="24"/>
          <w:szCs w:val="24"/>
          <w:highlight w:val="none"/>
        </w:rPr>
        <w:t>符合合同约定的文件</w:t>
      </w:r>
      <w:r>
        <w:rPr>
          <w:rFonts w:hint="eastAsia" w:ascii="仿宋" w:hAnsi="仿宋" w:eastAsia="仿宋" w:cs="仿宋"/>
          <w:color w:val="auto"/>
          <w:sz w:val="24"/>
          <w:szCs w:val="24"/>
          <w:highlight w:val="none"/>
          <w:lang w:eastAsia="zh-CN"/>
        </w:rPr>
        <w:t>。</w:t>
      </w:r>
    </w:p>
    <w:p w14:paraId="0B5A45B9">
      <w:pPr>
        <w:pStyle w:val="10"/>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②中标人所供中药饮片超出甲方要货计划的或出现质量问题，招标人有权拒绝验收，若中标人所供应的中药饮片质量、数量及配送时间达不到招标人的样品质量和计划要求的，同一品种相同问题，出现一次给予警告；出现第二次，约谈项目负责人，同时扣除乙方履约保证金2000元；出现第三次，招标人有权终止合同，同时扣除乙方剩余履约保证金。</w:t>
      </w:r>
    </w:p>
    <w:p w14:paraId="2A7B757C">
      <w:pPr>
        <w:pStyle w:val="10"/>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③中标人所供的中药饮片未按招标人采购计划、配送时限或出现质量问题（含供货质量低于样品质量）的，累计达合同品目的10%，招标人有权终止合同。</w:t>
      </w:r>
    </w:p>
    <w:p w14:paraId="514EAA88">
      <w:pPr>
        <w:pStyle w:val="10"/>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④中药饮片质量经第三方抽检出现不合格3批次（含），招标人有权终止合同，造成损失的全部由中标人承担。</w:t>
      </w:r>
    </w:p>
    <w:p w14:paraId="04D08196">
      <w:pPr>
        <w:pStyle w:val="10"/>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⑤中标人在签订合同前将招标文件中所需的</w:t>
      </w:r>
      <w:r>
        <w:rPr>
          <w:rFonts w:hint="eastAsia" w:ascii="仿宋" w:hAnsi="仿宋" w:eastAsia="仿宋" w:cs="仿宋"/>
          <w:bCs/>
          <w:color w:val="auto"/>
          <w:spacing w:val="10"/>
          <w:kern w:val="0"/>
          <w:sz w:val="24"/>
          <w:szCs w:val="24"/>
          <w:highlight w:val="none"/>
          <w:lang w:val="en-US" w:eastAsia="zh-CN" w:bidi="ar-SA"/>
        </w:rPr>
        <w:t>采购清单中所有饮片各提供20g交付于招标人作为后期验收的标准。</w:t>
      </w:r>
    </w:p>
    <w:p w14:paraId="4DA2CC4E">
      <w:pPr>
        <w:pStyle w:val="3"/>
        <w:bidi w:val="0"/>
        <w:rPr>
          <w:rFonts w:hint="eastAsia" w:ascii="仿宋" w:hAnsi="仿宋" w:eastAsia="仿宋" w:cs="仿宋"/>
        </w:rPr>
      </w:pPr>
      <w:bookmarkStart w:id="665" w:name="_Toc16667"/>
      <w:r>
        <w:rPr>
          <w:rFonts w:hint="eastAsia" w:ascii="仿宋" w:hAnsi="仿宋" w:eastAsia="仿宋" w:cs="仿宋"/>
          <w:lang w:val="en-US" w:eastAsia="zh-CN"/>
        </w:rPr>
        <w:t>7.</w:t>
      </w:r>
      <w:r>
        <w:rPr>
          <w:rFonts w:hint="eastAsia" w:ascii="仿宋" w:hAnsi="仿宋" w:eastAsia="仿宋" w:cs="仿宋"/>
        </w:rPr>
        <w:t>采购标的的其他技术、服务等要求</w:t>
      </w:r>
      <w:bookmarkEnd w:id="665"/>
    </w:p>
    <w:p w14:paraId="3C495BBD">
      <w:pPr>
        <w:widowControl w:val="0"/>
        <w:spacing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供货</w:t>
      </w:r>
      <w:r>
        <w:rPr>
          <w:rFonts w:hint="eastAsia" w:ascii="仿宋" w:hAnsi="仿宋" w:eastAsia="仿宋" w:cs="仿宋"/>
          <w:color w:val="auto"/>
          <w:kern w:val="2"/>
          <w:sz w:val="24"/>
          <w:szCs w:val="24"/>
          <w:highlight w:val="none"/>
        </w:rPr>
        <w:t>期内</w:t>
      </w:r>
      <w:r>
        <w:rPr>
          <w:rFonts w:hint="eastAsia" w:ascii="仿宋" w:hAnsi="仿宋" w:eastAsia="仿宋" w:cs="仿宋"/>
          <w:color w:val="auto"/>
          <w:kern w:val="2"/>
          <w:sz w:val="24"/>
          <w:szCs w:val="24"/>
          <w:highlight w:val="none"/>
          <w:lang w:val="en-US" w:eastAsia="zh-CN"/>
        </w:rPr>
        <w:t>招标人</w:t>
      </w:r>
      <w:r>
        <w:rPr>
          <w:rFonts w:hint="eastAsia" w:ascii="仿宋" w:hAnsi="仿宋" w:eastAsia="仿宋" w:cs="仿宋"/>
          <w:color w:val="auto"/>
          <w:kern w:val="2"/>
          <w:sz w:val="24"/>
          <w:szCs w:val="24"/>
          <w:highlight w:val="none"/>
        </w:rPr>
        <w:t>有权对原材料及</w:t>
      </w:r>
      <w:r>
        <w:rPr>
          <w:rFonts w:hint="eastAsia" w:ascii="仿宋" w:hAnsi="仿宋" w:eastAsia="仿宋" w:cs="仿宋"/>
          <w:color w:val="auto"/>
          <w:sz w:val="24"/>
          <w:szCs w:val="24"/>
          <w:highlight w:val="none"/>
          <w:lang w:val="en-US" w:eastAsia="zh-CN"/>
        </w:rPr>
        <w:t>饮片</w:t>
      </w:r>
      <w:r>
        <w:rPr>
          <w:rFonts w:hint="eastAsia" w:ascii="仿宋" w:hAnsi="仿宋" w:eastAsia="仿宋" w:cs="仿宋"/>
          <w:color w:val="auto"/>
          <w:kern w:val="2"/>
          <w:sz w:val="24"/>
          <w:szCs w:val="24"/>
          <w:highlight w:val="none"/>
        </w:rPr>
        <w:t>进行抽检，如抽检结果达不到合同要求的，</w:t>
      </w:r>
      <w:r>
        <w:rPr>
          <w:rFonts w:hint="eastAsia" w:ascii="仿宋" w:hAnsi="仿宋" w:eastAsia="仿宋" w:cs="仿宋"/>
          <w:color w:val="auto"/>
          <w:kern w:val="2"/>
          <w:sz w:val="24"/>
          <w:szCs w:val="24"/>
          <w:highlight w:val="none"/>
          <w:lang w:val="en-US" w:eastAsia="zh-CN"/>
        </w:rPr>
        <w:t>中标人</w:t>
      </w:r>
      <w:r>
        <w:rPr>
          <w:rFonts w:hint="eastAsia" w:ascii="仿宋" w:hAnsi="仿宋" w:eastAsia="仿宋" w:cs="仿宋"/>
          <w:color w:val="auto"/>
          <w:kern w:val="2"/>
          <w:sz w:val="24"/>
          <w:szCs w:val="24"/>
          <w:highlight w:val="none"/>
        </w:rPr>
        <w:t>须无条件更换成符合标准的</w:t>
      </w:r>
      <w:r>
        <w:rPr>
          <w:rFonts w:hint="eastAsia" w:ascii="仿宋" w:hAnsi="仿宋" w:eastAsia="仿宋" w:cs="仿宋"/>
          <w:color w:val="auto"/>
          <w:sz w:val="24"/>
          <w:szCs w:val="24"/>
          <w:highlight w:val="none"/>
          <w:lang w:val="en-US" w:eastAsia="zh-CN"/>
        </w:rPr>
        <w:t>饮片，由此造成的损失由中标人自行承担</w:t>
      </w:r>
      <w:r>
        <w:rPr>
          <w:rFonts w:hint="eastAsia" w:ascii="仿宋" w:hAnsi="仿宋" w:eastAsia="仿宋" w:cs="仿宋"/>
          <w:color w:val="auto"/>
          <w:kern w:val="2"/>
          <w:sz w:val="24"/>
          <w:szCs w:val="24"/>
          <w:highlight w:val="none"/>
        </w:rPr>
        <w:t>。累计出现3次（含）抽检不达标的，视为</w:t>
      </w:r>
      <w:r>
        <w:rPr>
          <w:rFonts w:hint="eastAsia" w:ascii="仿宋" w:hAnsi="仿宋" w:eastAsia="仿宋" w:cs="仿宋"/>
          <w:color w:val="auto"/>
          <w:kern w:val="2"/>
          <w:sz w:val="24"/>
          <w:szCs w:val="24"/>
          <w:highlight w:val="none"/>
          <w:lang w:val="en-US" w:eastAsia="zh-CN"/>
        </w:rPr>
        <w:t>中标人</w:t>
      </w:r>
      <w:r>
        <w:rPr>
          <w:rFonts w:hint="eastAsia" w:ascii="仿宋" w:hAnsi="仿宋" w:eastAsia="仿宋" w:cs="仿宋"/>
          <w:color w:val="auto"/>
          <w:kern w:val="2"/>
          <w:sz w:val="24"/>
          <w:szCs w:val="24"/>
          <w:highlight w:val="none"/>
        </w:rPr>
        <w:t>违约，</w:t>
      </w:r>
      <w:r>
        <w:rPr>
          <w:rFonts w:hint="eastAsia" w:ascii="仿宋" w:hAnsi="仿宋" w:eastAsia="仿宋" w:cs="仿宋"/>
          <w:color w:val="auto"/>
          <w:kern w:val="2"/>
          <w:sz w:val="24"/>
          <w:szCs w:val="24"/>
          <w:highlight w:val="none"/>
          <w:lang w:val="en-US" w:eastAsia="zh-CN"/>
        </w:rPr>
        <w:t>招标人</w:t>
      </w:r>
      <w:r>
        <w:rPr>
          <w:rFonts w:hint="eastAsia" w:ascii="仿宋" w:hAnsi="仿宋" w:eastAsia="仿宋" w:cs="仿宋"/>
          <w:color w:val="auto"/>
          <w:kern w:val="2"/>
          <w:sz w:val="24"/>
          <w:szCs w:val="24"/>
          <w:highlight w:val="none"/>
        </w:rPr>
        <w:t>有权终止合同。违约金不足以弥补</w:t>
      </w:r>
      <w:r>
        <w:rPr>
          <w:rFonts w:hint="eastAsia" w:ascii="仿宋" w:hAnsi="仿宋" w:eastAsia="仿宋" w:cs="仿宋"/>
          <w:color w:val="auto"/>
          <w:kern w:val="2"/>
          <w:sz w:val="24"/>
          <w:szCs w:val="24"/>
          <w:highlight w:val="none"/>
          <w:lang w:val="en-US" w:eastAsia="zh-CN"/>
        </w:rPr>
        <w:t>招标人</w:t>
      </w:r>
      <w:r>
        <w:rPr>
          <w:rFonts w:hint="eastAsia" w:ascii="仿宋" w:hAnsi="仿宋" w:eastAsia="仿宋" w:cs="仿宋"/>
          <w:color w:val="auto"/>
          <w:kern w:val="2"/>
          <w:sz w:val="24"/>
          <w:szCs w:val="24"/>
          <w:highlight w:val="none"/>
        </w:rPr>
        <w:t>损失的，</w:t>
      </w:r>
      <w:r>
        <w:rPr>
          <w:rFonts w:hint="eastAsia" w:ascii="仿宋" w:hAnsi="仿宋" w:eastAsia="仿宋" w:cs="仿宋"/>
          <w:color w:val="auto"/>
          <w:kern w:val="2"/>
          <w:sz w:val="24"/>
          <w:szCs w:val="24"/>
          <w:highlight w:val="none"/>
          <w:lang w:val="en-US" w:eastAsia="zh-CN"/>
        </w:rPr>
        <w:t>中标人</w:t>
      </w:r>
      <w:r>
        <w:rPr>
          <w:rFonts w:hint="eastAsia" w:ascii="仿宋" w:hAnsi="仿宋" w:eastAsia="仿宋" w:cs="仿宋"/>
          <w:color w:val="auto"/>
          <w:kern w:val="2"/>
          <w:sz w:val="24"/>
          <w:szCs w:val="24"/>
          <w:highlight w:val="none"/>
        </w:rPr>
        <w:t>还应支付差额部分的损失。</w:t>
      </w:r>
    </w:p>
    <w:p w14:paraId="691EEC8B">
      <w:pPr>
        <w:pStyle w:val="3"/>
        <w:bidi w:val="0"/>
        <w:rPr>
          <w:rFonts w:hint="eastAsia" w:ascii="仿宋" w:hAnsi="仿宋" w:eastAsia="仿宋" w:cs="仿宋"/>
          <w:lang w:val="en-US" w:eastAsia="zh-CN"/>
        </w:rPr>
      </w:pPr>
      <w:bookmarkStart w:id="666" w:name="_Toc21263"/>
      <w:r>
        <w:rPr>
          <w:rFonts w:hint="eastAsia" w:ascii="仿宋" w:hAnsi="仿宋" w:eastAsia="仿宋" w:cs="仿宋"/>
          <w:lang w:val="en-US" w:eastAsia="zh-CN"/>
        </w:rPr>
        <w:t>8.其他要求</w:t>
      </w:r>
      <w:bookmarkEnd w:id="666"/>
    </w:p>
    <w:p w14:paraId="19E8FB8E">
      <w:pPr>
        <w:keepNext w:val="0"/>
        <w:keepLines w:val="0"/>
        <w:pageBreakBefore w:val="0"/>
        <w:widowControl w:val="0"/>
        <w:kinsoku/>
        <w:overflowPunct/>
        <w:bidi w:val="0"/>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sz w:val="24"/>
          <w:szCs w:val="24"/>
          <w:highlight w:val="none"/>
          <w:lang w:val="en-US" w:eastAsia="zh-CN"/>
        </w:rPr>
        <w:t>●</w:t>
      </w:r>
      <w:r>
        <w:rPr>
          <w:rFonts w:hint="eastAsia" w:ascii="仿宋" w:hAnsi="仿宋" w:eastAsia="仿宋" w:cs="仿宋"/>
          <w:b/>
          <w:bCs/>
          <w:color w:val="auto"/>
          <w:sz w:val="24"/>
          <w:szCs w:val="24"/>
          <w:highlight w:val="none"/>
          <w:lang w:val="en-US" w:eastAsia="zh-CN"/>
        </w:rPr>
        <w:t>实质性要求：</w:t>
      </w:r>
      <w:r>
        <w:rPr>
          <w:rFonts w:hint="eastAsia" w:ascii="仿宋" w:hAnsi="仿宋" w:eastAsia="仿宋" w:cs="仿宋"/>
          <w:b/>
          <w:bCs/>
          <w:color w:val="auto"/>
          <w:sz w:val="24"/>
          <w:szCs w:val="24"/>
          <w:shd w:val="clear" w:color="auto" w:fill="FFFFFF"/>
        </w:rPr>
        <w:t>①</w:t>
      </w:r>
      <w:r>
        <w:rPr>
          <w:rFonts w:hint="eastAsia" w:ascii="仿宋" w:hAnsi="仿宋" w:eastAsia="仿宋" w:cs="仿宋"/>
          <w:color w:val="auto"/>
          <w:sz w:val="24"/>
          <w:szCs w:val="24"/>
          <w:highlight w:val="none"/>
          <w:lang w:val="en-US" w:eastAsia="zh-CN"/>
        </w:rPr>
        <w:t>投标人所投中药饮片，有特殊中药饮片的，投标人须提供相应资质，否则视为无效投标。属毒性饮片的（</w:t>
      </w:r>
      <w:r>
        <w:rPr>
          <w:rFonts w:hint="eastAsia" w:ascii="仿宋" w:hAnsi="仿宋" w:eastAsia="仿宋" w:cs="仿宋"/>
          <w:i w:val="0"/>
          <w:iCs w:val="0"/>
          <w:color w:val="auto"/>
          <w:kern w:val="0"/>
          <w:sz w:val="24"/>
          <w:szCs w:val="24"/>
          <w:highlight w:val="none"/>
          <w:u w:val="none"/>
          <w:lang w:val="en-US" w:eastAsia="zh-CN" w:bidi="ar"/>
        </w:rPr>
        <w:t>生草乌、生川乌、生马钱子、雄黄粉、雪上一枝蒿</w:t>
      </w:r>
      <w:r>
        <w:rPr>
          <w:rFonts w:hint="eastAsia" w:ascii="仿宋" w:hAnsi="仿宋" w:eastAsia="仿宋" w:cs="仿宋"/>
          <w:color w:val="auto"/>
          <w:sz w:val="24"/>
          <w:szCs w:val="24"/>
          <w:highlight w:val="none"/>
          <w:lang w:val="en-US" w:eastAsia="zh-CN"/>
        </w:rPr>
        <w:t>），需提供毒性饮片经营资质；属批准文号管理饮片的，需提供有效期内饮片注册证；属</w:t>
      </w:r>
      <w:bookmarkStart w:id="667" w:name="OLE_LINK61"/>
      <w:r>
        <w:rPr>
          <w:rFonts w:hint="eastAsia" w:ascii="仿宋" w:hAnsi="仿宋" w:eastAsia="仿宋" w:cs="仿宋"/>
          <w:color w:val="auto"/>
          <w:sz w:val="24"/>
          <w:szCs w:val="24"/>
          <w:highlight w:val="none"/>
          <w:lang w:val="en-US" w:eastAsia="zh-CN"/>
        </w:rPr>
        <w:t>特殊管理</w:t>
      </w:r>
      <w:bookmarkEnd w:id="667"/>
      <w:r>
        <w:rPr>
          <w:rFonts w:hint="eastAsia" w:ascii="仿宋" w:hAnsi="仿宋" w:eastAsia="仿宋" w:cs="仿宋"/>
          <w:color w:val="auto"/>
          <w:sz w:val="24"/>
          <w:szCs w:val="24"/>
          <w:highlight w:val="none"/>
          <w:lang w:val="en-US" w:eastAsia="zh-CN"/>
        </w:rPr>
        <w:t>饮片的，如</w:t>
      </w:r>
      <w:r>
        <w:rPr>
          <w:rFonts w:hint="eastAsia" w:ascii="仿宋" w:hAnsi="仿宋" w:eastAsia="仿宋" w:cs="仿宋"/>
          <w:color w:val="auto"/>
          <w:sz w:val="24"/>
          <w:szCs w:val="24"/>
          <w:highlight w:val="none"/>
        </w:rPr>
        <w:t>国家保护野生动物的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甘草、麻黄草（或以甘草、麻黄草为原料的制品）的</w:t>
      </w:r>
      <w:r>
        <w:rPr>
          <w:rFonts w:hint="eastAsia" w:ascii="仿宋" w:hAnsi="仿宋" w:eastAsia="仿宋" w:cs="仿宋"/>
          <w:color w:val="auto"/>
          <w:sz w:val="24"/>
          <w:szCs w:val="24"/>
          <w:highlight w:val="none"/>
          <w:lang w:val="en-US" w:eastAsia="zh-CN"/>
        </w:rPr>
        <w:t>等，如涉及毒性中药饮片、按麻醉饮片管理的中药饮片、珍稀野生动物类药材等有特殊管理规定的中药饮片应符合国家有关规定，中标人供应此类饮片时需要提供厂家相应的许可资料，证明饮片的合法来源性。供货期间如遇国家或省市级政策调整，则按新政策执行，招标人不存在违约。</w:t>
      </w:r>
    </w:p>
    <w:p w14:paraId="6C298558">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b/>
          <w:bCs/>
          <w:color w:val="FF0000"/>
          <w:sz w:val="24"/>
          <w:szCs w:val="24"/>
          <w:highlight w:val="none"/>
          <w:lang w:val="en-US" w:eastAsia="zh-CN"/>
        </w:rPr>
        <w:t>●</w:t>
      </w:r>
      <w:r>
        <w:rPr>
          <w:rFonts w:hint="eastAsia" w:ascii="仿宋" w:hAnsi="仿宋" w:eastAsia="仿宋" w:cs="仿宋"/>
          <w:b/>
          <w:bCs/>
          <w:color w:val="auto"/>
          <w:sz w:val="24"/>
          <w:szCs w:val="24"/>
          <w:highlight w:val="none"/>
          <w:lang w:val="en-US" w:eastAsia="zh-CN"/>
        </w:rPr>
        <w:t>实质性要求：</w:t>
      </w:r>
      <w:r>
        <w:rPr>
          <w:rFonts w:hint="eastAsia" w:ascii="仿宋" w:hAnsi="仿宋" w:eastAsia="仿宋" w:cs="仿宋"/>
          <w:color w:val="auto"/>
          <w:sz w:val="24"/>
          <w:szCs w:val="24"/>
          <w:highlight w:val="none"/>
          <w:lang w:val="en-US" w:eastAsia="zh-CN"/>
        </w:rPr>
        <w:t>投标人必须保证中药饮片质量，保证所供应中药饮片的质量符合《中华人民共和国药典》（2020年版）、《国家中药饮片炮制规范》等国家及云南省中药饮片质量标准等相关文件规定的要求，确保临床用药安全有效。药材应无伪品，无虫蛀、霉变及非药用部位。各品种色泽、特征、气味应符合该品种规定，色泽均匀，无伤水。各品种应符合各自规定的片型规格，厚薄均匀，表面光洁，无整体，异形片不得超过10％。（提供承诺函）</w:t>
      </w:r>
    </w:p>
    <w:p w14:paraId="209B97B1">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b/>
          <w:color w:val="auto"/>
          <w:kern w:val="0"/>
          <w:sz w:val="24"/>
          <w:szCs w:val="24"/>
          <w:highlight w:val="none"/>
          <w:lang w:val="en-US" w:eastAsia="zh-CN" w:bidi="ar-SA"/>
        </w:rPr>
        <w:t>③</w:t>
      </w:r>
      <w:r>
        <w:rPr>
          <w:rFonts w:hint="eastAsia" w:ascii="仿宋" w:hAnsi="仿宋" w:eastAsia="仿宋" w:cs="仿宋"/>
          <w:sz w:val="24"/>
          <w:szCs w:val="24"/>
          <w:highlight w:val="none"/>
          <w:lang w:eastAsia="zh-CN"/>
        </w:rPr>
        <w:t>中药饮片包装要求：应选用与饮片性质相适应及符合饮片质量要求的包装材料和容器。直接接触中药饮片的包装材料应至少符合食品包装材料标准。严禁选用与饮片性质不相适应和对饮片质量安全产生影响的包装材料。</w:t>
      </w:r>
    </w:p>
    <w:p w14:paraId="20E915F8">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④中标人</w:t>
      </w:r>
      <w:r>
        <w:rPr>
          <w:rFonts w:hint="eastAsia" w:ascii="仿宋" w:hAnsi="仿宋" w:eastAsia="仿宋" w:cs="仿宋"/>
          <w:sz w:val="24"/>
          <w:szCs w:val="24"/>
          <w:highlight w:val="none"/>
          <w:lang w:eastAsia="zh-CN"/>
        </w:rPr>
        <w:t>所提供的中药饮片的内、外标签应当标注产品的产品属性、品名、规格、产地、生产企业、产品批号、生产日期、装量、保质期、执行标准等内容。实施审批管理的中药饮片还应当按规定注明批准文号。</w:t>
      </w:r>
    </w:p>
    <w:p w14:paraId="17741FFA">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⑤</w:t>
      </w:r>
      <w:r>
        <w:rPr>
          <w:rFonts w:hint="eastAsia" w:ascii="仿宋" w:hAnsi="仿宋" w:eastAsia="仿宋" w:cs="仿宋"/>
          <w:sz w:val="24"/>
          <w:szCs w:val="24"/>
          <w:highlight w:val="none"/>
          <w:lang w:eastAsia="zh-CN"/>
        </w:rPr>
        <w:t>中药饮片内标签因包装尺寸原因无法全部标注上述内容的，至少应当标注产品属性、品名、规格、重量、生产批号和保质期等内容。如国家饮片标准或中药饮片炮制规范对规格项没有规定的，可不标示产品规格。</w:t>
      </w:r>
    </w:p>
    <w:p w14:paraId="0F1C1AC8">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⑥</w:t>
      </w:r>
      <w:r>
        <w:rPr>
          <w:rFonts w:hint="eastAsia" w:ascii="仿宋" w:hAnsi="仿宋" w:eastAsia="仿宋" w:cs="仿宋"/>
          <w:sz w:val="24"/>
          <w:szCs w:val="24"/>
          <w:highlight w:val="none"/>
          <w:lang w:eastAsia="zh-CN"/>
        </w:rPr>
        <w:t>中药饮片生产、经营企业应当对其生产、经营的中药饮片标签内容的真实性、完整性、规范性负责，承担中药饮片质量安全责任。</w:t>
      </w:r>
    </w:p>
    <w:p w14:paraId="2456992D">
      <w:pPr>
        <w:widowControl w:val="0"/>
        <w:spacing w:line="36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⑦</w:t>
      </w:r>
      <w:r>
        <w:rPr>
          <w:rFonts w:hint="eastAsia" w:ascii="仿宋" w:hAnsi="仿宋" w:eastAsia="仿宋" w:cs="仿宋"/>
          <w:sz w:val="24"/>
          <w:szCs w:val="24"/>
          <w:highlight w:val="none"/>
          <w:lang w:eastAsia="zh-CN"/>
        </w:rPr>
        <w:t>招标人根据临床需求，向中标人下达中药饮片供货订单。</w:t>
      </w:r>
      <w:r>
        <w:rPr>
          <w:rFonts w:hint="eastAsia" w:ascii="仿宋" w:hAnsi="仿宋" w:eastAsia="仿宋" w:cs="仿宋"/>
          <w:color w:val="auto"/>
          <w:kern w:val="2"/>
          <w:sz w:val="24"/>
          <w:szCs w:val="24"/>
          <w:highlight w:val="none"/>
          <w:lang w:val="en-US" w:eastAsia="zh-CN" w:bidi="ar"/>
        </w:rPr>
        <w:t>中标人应具备一定的仓储能力，</w:t>
      </w:r>
      <w:r>
        <w:rPr>
          <w:rFonts w:hint="eastAsia" w:ascii="仿宋" w:hAnsi="仿宋" w:eastAsia="仿宋" w:cs="仿宋"/>
          <w:sz w:val="24"/>
          <w:szCs w:val="24"/>
          <w:highlight w:val="none"/>
          <w:lang w:eastAsia="zh-CN"/>
        </w:rPr>
        <w:t>中标人必须满足招标人的采购需求，不论供货规模多少，均应保证按时按量配送，并对所供应的中药饮片质量负责，发生质量问题（除患者自身保管不妥外）一切由中标人承担责任。中标人不得以交货地点远或送货量少而拒绝按时送达，因上述理由经查属实二次以上，招标人有权</w:t>
      </w:r>
      <w:r>
        <w:rPr>
          <w:rFonts w:hint="eastAsia" w:ascii="仿宋" w:hAnsi="仿宋" w:eastAsia="仿宋" w:cs="仿宋"/>
          <w:sz w:val="24"/>
          <w:szCs w:val="24"/>
          <w:highlight w:val="none"/>
          <w:lang w:val="en-US" w:eastAsia="zh-CN"/>
        </w:rPr>
        <w:t>取消</w:t>
      </w:r>
      <w:r>
        <w:rPr>
          <w:rFonts w:hint="eastAsia" w:ascii="仿宋" w:hAnsi="仿宋" w:eastAsia="仿宋" w:cs="仿宋"/>
          <w:sz w:val="24"/>
          <w:szCs w:val="24"/>
          <w:highlight w:val="none"/>
          <w:lang w:eastAsia="zh-CN"/>
        </w:rPr>
        <w:t>中标人供货资格，另向其他公司采购。</w:t>
      </w:r>
    </w:p>
    <w:p w14:paraId="2A970369">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⑧</w:t>
      </w:r>
      <w:r>
        <w:rPr>
          <w:rFonts w:hint="eastAsia" w:ascii="仿宋" w:hAnsi="仿宋" w:eastAsia="仿宋" w:cs="仿宋"/>
          <w:sz w:val="24"/>
          <w:szCs w:val="24"/>
          <w:highlight w:val="none"/>
          <w:lang w:eastAsia="zh-CN"/>
        </w:rPr>
        <w:t>若中标</w:t>
      </w:r>
      <w:r>
        <w:rPr>
          <w:rFonts w:hint="eastAsia" w:ascii="仿宋" w:hAnsi="仿宋" w:eastAsia="仿宋" w:cs="仿宋"/>
          <w:sz w:val="24"/>
          <w:szCs w:val="24"/>
          <w:highlight w:val="none"/>
          <w:lang w:val="en-US" w:eastAsia="zh-CN"/>
        </w:rPr>
        <w:t>中药饮片</w:t>
      </w:r>
      <w:r>
        <w:rPr>
          <w:rFonts w:hint="eastAsia" w:ascii="仿宋" w:hAnsi="仿宋" w:eastAsia="仿宋" w:cs="仿宋"/>
          <w:sz w:val="24"/>
          <w:szCs w:val="24"/>
          <w:highlight w:val="none"/>
          <w:lang w:eastAsia="zh-CN"/>
        </w:rPr>
        <w:t>有断货或停供等特殊情况时，保证提前5个工作日通知招标人，并出示加盖公章的停止供货书面说明，价格变动不能成为停止供货理由。</w:t>
      </w:r>
      <w:r>
        <w:rPr>
          <w:rFonts w:hint="eastAsia" w:ascii="仿宋" w:hAnsi="仿宋" w:eastAsia="仿宋" w:cs="仿宋"/>
          <w:sz w:val="24"/>
          <w:szCs w:val="24"/>
          <w:highlight w:val="none"/>
          <w:lang w:val="en-US" w:eastAsia="zh-CN"/>
        </w:rPr>
        <w:t>非不可抗力（政策或虫害、气候、灾害等）发生</w:t>
      </w:r>
      <w:r>
        <w:rPr>
          <w:rFonts w:hint="eastAsia" w:ascii="仿宋" w:hAnsi="仿宋" w:eastAsia="仿宋" w:cs="仿宋"/>
          <w:sz w:val="24"/>
          <w:szCs w:val="24"/>
          <w:highlight w:val="none"/>
          <w:lang w:eastAsia="zh-CN"/>
        </w:rPr>
        <w:t>断货或停供情况时，</w:t>
      </w:r>
      <w:r>
        <w:rPr>
          <w:rFonts w:hint="eastAsia" w:ascii="仿宋" w:hAnsi="仿宋" w:eastAsia="仿宋" w:cs="仿宋"/>
          <w:sz w:val="24"/>
          <w:szCs w:val="24"/>
          <w:highlight w:val="none"/>
          <w:lang w:val="en-US" w:eastAsia="zh-CN"/>
        </w:rPr>
        <w:t>取消供货资格。</w:t>
      </w:r>
    </w:p>
    <w:p w14:paraId="0C9E9021">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⑨采购期限内，企业名称、中药饮片规格等信息变更后，需在10个工作日内向招标人办理备案手续。逾期未办理备案的，招标人有权暂停中标人供货资格，另向其他公司采购。</w:t>
      </w:r>
    </w:p>
    <w:p w14:paraId="3055D604">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⑩若中标人在采购期限内存在违法、违规或违反合同、招投标文件的行为，且经招标人核查属实，则招标人有权根据国家法律法规或合同、招投标文件的相关规定，单方面暂停或取消其供货资格，对此招标人并不构成违约，同时依法依规向中标人提出索偿。</w:t>
      </w:r>
    </w:p>
    <w:p w14:paraId="63491EE8">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⑪售后服务：</w:t>
      </w:r>
      <w:r>
        <w:rPr>
          <w:rFonts w:hint="eastAsia" w:ascii="仿宋" w:hAnsi="仿宋" w:eastAsia="仿宋" w:cs="仿宋"/>
          <w:sz w:val="24"/>
          <w:szCs w:val="24"/>
          <w:highlight w:val="none"/>
          <w:lang w:val="en-US" w:eastAsia="zh-CN"/>
        </w:rPr>
        <w:t>投标人按自己的履约能力为招标人提供优质、便捷、全面的售后服务，保证饮片的正常供应</w:t>
      </w:r>
      <w:r>
        <w:rPr>
          <w:rFonts w:hint="eastAsia" w:ascii="仿宋" w:hAnsi="仿宋" w:eastAsia="仿宋" w:cs="仿宋"/>
          <w:sz w:val="24"/>
          <w:szCs w:val="24"/>
          <w:highlight w:val="none"/>
          <w:lang w:eastAsia="zh-CN"/>
        </w:rPr>
        <w:t>。</w:t>
      </w:r>
    </w:p>
    <w:p w14:paraId="14E6904F">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⑫对于滞销饮片，采购入库6个月内，未拆包装的招标人可无理由退换货。如中标人不予退货，从即日起暂停回款，直至退货完成为止。 </w:t>
      </w:r>
    </w:p>
    <w:p w14:paraId="3C22CD31">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⑬中标人提供的饮片质量不符合合同约定或质量要求给招标人造成损失的，招标人有权</w:t>
      </w:r>
      <w:r>
        <w:rPr>
          <w:rFonts w:hint="eastAsia" w:ascii="仿宋" w:hAnsi="仿宋" w:eastAsia="仿宋" w:cs="仿宋"/>
          <w:sz w:val="24"/>
          <w:szCs w:val="24"/>
          <w:highlight w:val="none"/>
          <w:lang w:val="en-US" w:eastAsia="zh-CN"/>
        </w:rPr>
        <w:t>追偿</w:t>
      </w:r>
      <w:r>
        <w:rPr>
          <w:rFonts w:hint="eastAsia" w:ascii="仿宋" w:hAnsi="仿宋" w:eastAsia="仿宋" w:cs="仿宋"/>
          <w:sz w:val="24"/>
          <w:szCs w:val="24"/>
          <w:highlight w:val="none"/>
          <w:lang w:eastAsia="zh-CN"/>
        </w:rPr>
        <w:t>。</w:t>
      </w:r>
    </w:p>
    <w:p w14:paraId="4E15F251">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⑭供货价格：项目按每千克（招标人另有需求除外）饮片结算单价供货结算，在合同期内原则上不作调整。投标人在填报投标报价时，应根据自身的成本核算情况，充分考虑市场价格的波动风险。一经投标，即认为该投标人已充分考虑有关风险，愿意承担因这些风险所造成的一切经济损失，并放弃因此造成的损失求偿权。如确实因为政策或虫害、气候</w:t>
      </w:r>
      <w:r>
        <w:rPr>
          <w:rFonts w:hint="eastAsia" w:ascii="仿宋" w:hAnsi="仿宋" w:eastAsia="仿宋" w:cs="仿宋"/>
          <w:color w:val="auto"/>
          <w:sz w:val="24"/>
          <w:szCs w:val="24"/>
          <w:highlight w:val="none"/>
          <w:lang w:val="en-US" w:eastAsia="zh-CN"/>
        </w:rPr>
        <w:t>、灾害等原因影响采购合同执行（招标文件另有规定除外），须由中标人事先提供书面申请及相关证明材料</w:t>
      </w:r>
      <w:r>
        <w:rPr>
          <w:rFonts w:hint="eastAsia" w:ascii="仿宋" w:hAnsi="仿宋" w:eastAsia="仿宋" w:cs="仿宋"/>
          <w:sz w:val="24"/>
          <w:szCs w:val="24"/>
          <w:highlight w:val="none"/>
          <w:lang w:val="en-US" w:eastAsia="zh-CN"/>
        </w:rPr>
        <w:t>，等招标人批准后方可调价。</w:t>
      </w:r>
    </w:p>
    <w:p w14:paraId="31FFE4D4">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⑮中标人应建立追溯系统，逐步实现中药饮片生产、流通和使用全过程来源可查、去向可追，确保发生质量安全风险的产品可召回、责任可追究。招标人有权随时对中药饮片的生产过程进行抽查检验或派出专人监督。</w:t>
      </w:r>
    </w:p>
    <w:p w14:paraId="13D6578D">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⑯供货要求：</w:t>
      </w:r>
    </w:p>
    <w:p w14:paraId="1E9CA479">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（1）合同执行过程中非不可抗力不能供货的，取消中标人供货资格。</w:t>
      </w:r>
    </w:p>
    <w:p w14:paraId="1E6DA2BB">
      <w:pPr>
        <w:pStyle w:val="48"/>
        <w:keepNext w:val="0"/>
        <w:keepLines w:val="0"/>
        <w:pageBreakBefore w:val="0"/>
        <w:widowControl w:val="0"/>
        <w:kinsoku/>
        <w:wordWrap/>
        <w:overflowPunct/>
        <w:topLinePunct w:val="0"/>
        <w:autoSpaceDE/>
        <w:autoSpaceDN/>
        <w:bidi w:val="0"/>
        <w:adjustRightInd w:val="0"/>
        <w:snapToGrid/>
        <w:spacing w:line="360" w:lineRule="auto"/>
        <w:ind w:left="239" w:leftChars="114" w:firstLine="240" w:firstLineChars="1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（2）中标人每批次供应的同品种中药饮片生产批号不得超过2个，且每批次供应的中药饮片中达到2个生产批号的品种不得超过该批次全部中药饮片的十分之一。</w:t>
      </w:r>
    </w:p>
    <w:p w14:paraId="4F977527">
      <w:pPr>
        <w:pStyle w:val="48"/>
        <w:keepNext w:val="0"/>
        <w:keepLines w:val="0"/>
        <w:pageBreakBefore w:val="0"/>
        <w:widowControl w:val="0"/>
        <w:kinsoku/>
        <w:wordWrap/>
        <w:overflowPunct/>
        <w:topLinePunct w:val="0"/>
        <w:autoSpaceDE/>
        <w:autoSpaceDN/>
        <w:bidi w:val="0"/>
        <w:adjustRightInd w:val="0"/>
        <w:snapToGrid/>
        <w:spacing w:line="360" w:lineRule="auto"/>
        <w:ind w:left="239" w:leftChars="114" w:firstLine="240" w:firstLineChars="1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（3）每批次供应的全部品种中药饮片统一包装的规格按招标人需求提供。</w:t>
      </w:r>
    </w:p>
    <w:p w14:paraId="3CCD2E18">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⑰验收的标准、方法和时间：招标人按照《中华人民共和国饮片管理办法》、相关的验收制度和饮片发票（国家税务）、随货单在药库予以验收，验收中发现不符合要求的，如饮片质量低于《药典》2020版或《云南省中药饮片炮制规范》等相关规定；随货单上饮片品种、数量、产地、炮制要求、包装标签标识与采购计划单不符；包装质量（空包、连包、破损、装量差异≥±5%）不符合国家中医药管理局规定的，招标人应在工作日48小时内通知中标人，中标人应予以接受并及时处理。</w:t>
      </w:r>
    </w:p>
    <w:p w14:paraId="6BF5220F">
      <w:pPr>
        <w:pStyle w:val="4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⑱质量问题的处理：</w:t>
      </w:r>
    </w:p>
    <w:p w14:paraId="73B091BC">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因中标人提供的中药饮片存在质量（包括包装质量）问题而造成招标人的一切损失，由中标人负责。如双方对饮片质量产生争议，以法定检验部门的检验报告为准。检验结果不合格的送检产生的一切费用由中标人负责。招标人在经营投标人提供的饮片时，若发生质量问题，应及时通知投标人并提供详细、确定的质量信息。配合中标人做好调查取证和善后处理工作。在销售过程中，因市场原因造成饮片滞销，中标人承诺给予退换货。</w:t>
      </w:r>
    </w:p>
    <w:p w14:paraId="78E9F3A5">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经药监部门检查抽检，如质量不符合国家、部颁、地方标准而给予的罚款由中标人支付。如因饮片质量而引起的医患纠纷，由中标人负责。若情节严重可直接暂停中标人供货，后续评估后再行处理；若事故对招标人造成重大名誉或经济损失，由此造成的损失全权由中标人负责，招标人有权单方面立即终止合同。</w:t>
      </w:r>
    </w:p>
    <w:p w14:paraId="01220FDC">
      <w:pPr>
        <w:pStyle w:val="3"/>
        <w:bidi w:val="0"/>
        <w:rPr>
          <w:rFonts w:hint="eastAsia"/>
          <w:color w:val="auto"/>
          <w:highlight w:val="none"/>
          <w:lang w:val="en-US" w:eastAsia="zh-CN"/>
        </w:rPr>
      </w:pPr>
      <w:bookmarkStart w:id="668" w:name="_Toc454"/>
      <w:r>
        <w:rPr>
          <w:rFonts w:hint="eastAsia"/>
          <w:color w:val="auto"/>
          <w:highlight w:val="none"/>
          <w:lang w:val="en-US" w:eastAsia="zh-CN"/>
        </w:rPr>
        <w:t>9.样品要求</w:t>
      </w:r>
      <w:bookmarkEnd w:id="668"/>
    </w:p>
    <w:p w14:paraId="07960A9E">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样品要求</w:t>
      </w:r>
    </w:p>
    <w:p w14:paraId="7230116F">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（1）样品名称及数量：同投标人须知前附表（7）要求数量。</w:t>
      </w:r>
    </w:p>
    <w:p w14:paraId="69CC9641">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（2）样品的提交</w:t>
      </w:r>
    </w:p>
    <w:p w14:paraId="27EC957A">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①样品制作标准和要求：符合《中华人民共和国药典》（2020年版）等国家及云南省中药饮片质量标准等相关文件规定的要求；</w:t>
      </w:r>
    </w:p>
    <w:p w14:paraId="562E47DD">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②投标人采用</w:t>
      </w:r>
      <w:r>
        <w:rPr>
          <w:rFonts w:hint="eastAsia" w:ascii="仿宋" w:hAnsi="仿宋" w:eastAsia="仿宋" w:cs="仿宋"/>
          <w:b/>
          <w:bCs/>
          <w:color w:val="FF0000"/>
          <w:sz w:val="24"/>
          <w:szCs w:val="24"/>
          <w:highlight w:val="none"/>
          <w:lang w:val="en-US" w:eastAsia="zh-CN"/>
        </w:rPr>
        <w:t>现场送达形式</w:t>
      </w:r>
      <w:r>
        <w:rPr>
          <w:rFonts w:hint="eastAsia" w:ascii="仿宋" w:hAnsi="仿宋" w:eastAsia="仿宋" w:cs="仿宋"/>
          <w:color w:val="auto"/>
          <w:sz w:val="24"/>
          <w:szCs w:val="24"/>
          <w:highlight w:val="none"/>
          <w:lang w:val="en-US" w:eastAsia="zh-CN"/>
        </w:rPr>
        <w:t>提交样品，样品包装同须知前附表要求，投标人提交的所有样品均应粘贴标签（样品标签格式如下），标签应粘贴牢固，书写应正楷、清晰。</w:t>
      </w:r>
    </w:p>
    <w:tbl>
      <w:tblPr>
        <w:tblStyle w:val="23"/>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0"/>
        <w:gridCol w:w="1452"/>
        <w:gridCol w:w="2064"/>
        <w:gridCol w:w="1851"/>
      </w:tblGrid>
      <w:tr w14:paraId="1B9C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710" w:type="dxa"/>
            <w:noWrap w:val="0"/>
            <w:vAlign w:val="center"/>
          </w:tcPr>
          <w:p w14:paraId="417090EB">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样品编号</w:t>
            </w:r>
          </w:p>
        </w:tc>
        <w:tc>
          <w:tcPr>
            <w:tcW w:w="1452" w:type="dxa"/>
            <w:noWrap w:val="0"/>
            <w:vAlign w:val="center"/>
          </w:tcPr>
          <w:p w14:paraId="5E89AB82">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default" w:ascii="仿宋" w:hAnsi="仿宋" w:eastAsia="仿宋" w:cs="仿宋"/>
                <w:color w:val="auto"/>
                <w:sz w:val="24"/>
                <w:szCs w:val="24"/>
                <w:highlight w:val="none"/>
                <w:lang w:val="en-US" w:eastAsia="zh-CN"/>
              </w:rPr>
            </w:pPr>
          </w:p>
        </w:tc>
        <w:tc>
          <w:tcPr>
            <w:tcW w:w="2064" w:type="dxa"/>
            <w:noWrap w:val="0"/>
            <w:vAlign w:val="bottom"/>
          </w:tcPr>
          <w:p w14:paraId="1C998DE3">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样品名称</w:t>
            </w:r>
          </w:p>
        </w:tc>
        <w:tc>
          <w:tcPr>
            <w:tcW w:w="1851" w:type="dxa"/>
            <w:noWrap w:val="0"/>
            <w:vAlign w:val="center"/>
          </w:tcPr>
          <w:p w14:paraId="069EC450">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p>
        </w:tc>
      </w:tr>
    </w:tbl>
    <w:p w14:paraId="0A75997E">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例如：</w:t>
      </w:r>
    </w:p>
    <w:tbl>
      <w:tblPr>
        <w:tblStyle w:val="23"/>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008"/>
        <w:gridCol w:w="2207"/>
        <w:gridCol w:w="2074"/>
      </w:tblGrid>
      <w:tr w14:paraId="384A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4" w:type="dxa"/>
            <w:noWrap w:val="0"/>
            <w:vAlign w:val="center"/>
          </w:tcPr>
          <w:p w14:paraId="33EFDFCC">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样品编号</w:t>
            </w:r>
          </w:p>
        </w:tc>
        <w:tc>
          <w:tcPr>
            <w:tcW w:w="2008" w:type="dxa"/>
            <w:noWrap w:val="0"/>
            <w:vAlign w:val="center"/>
          </w:tcPr>
          <w:p w14:paraId="2960B99A">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07" w:type="dxa"/>
            <w:noWrap w:val="0"/>
            <w:vAlign w:val="bottom"/>
          </w:tcPr>
          <w:p w14:paraId="7C20F480">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样品名称</w:t>
            </w:r>
          </w:p>
        </w:tc>
        <w:tc>
          <w:tcPr>
            <w:tcW w:w="2074" w:type="dxa"/>
            <w:noWrap w:val="0"/>
            <w:vAlign w:val="center"/>
          </w:tcPr>
          <w:p w14:paraId="511B86F6">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艾叶</w:t>
            </w:r>
          </w:p>
        </w:tc>
      </w:tr>
    </w:tbl>
    <w:p w14:paraId="3416775B">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③递交样品的截止时间：</w:t>
      </w:r>
      <w:r>
        <w:rPr>
          <w:rFonts w:hint="eastAsia" w:ascii="仿宋" w:hAnsi="仿宋" w:eastAsia="仿宋" w:cs="仿宋"/>
          <w:color w:val="FF0000"/>
          <w:sz w:val="24"/>
          <w:szCs w:val="24"/>
          <w:highlight w:val="none"/>
          <w:lang w:val="en-US" w:eastAsia="zh-CN"/>
        </w:rPr>
        <w:t>同投标文件提交截止时间</w:t>
      </w:r>
      <w:r>
        <w:rPr>
          <w:rFonts w:hint="eastAsia" w:ascii="仿宋" w:hAnsi="仿宋" w:eastAsia="仿宋" w:cs="仿宋"/>
          <w:color w:val="auto"/>
          <w:sz w:val="24"/>
          <w:szCs w:val="24"/>
          <w:highlight w:val="none"/>
          <w:lang w:val="en-US" w:eastAsia="zh-CN"/>
        </w:rPr>
        <w:t>，超过提交截止时间的，样品接收单位不予接收；样品提交截止时间前，投标人提交的样品可以替换或者修改，并由样品接收单位做好记录。</w:t>
      </w:r>
    </w:p>
    <w:p w14:paraId="4AEA8DEF">
      <w:pPr>
        <w:keepNext w:val="0"/>
        <w:keepLines w:val="0"/>
        <w:pageBreakBefore w:val="0"/>
        <w:shd w:val="clear"/>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④递交样品的地点：</w:t>
      </w:r>
      <w:r>
        <w:rPr>
          <w:rFonts w:hint="eastAsia" w:ascii="仿宋" w:hAnsi="仿宋" w:eastAsia="仿宋" w:cs="仿宋"/>
          <w:b/>
          <w:bCs/>
          <w:color w:val="auto"/>
          <w:sz w:val="24"/>
          <w:szCs w:val="24"/>
          <w:highlight w:val="none"/>
          <w:lang w:val="en-US" w:eastAsia="zh-CN"/>
        </w:rPr>
        <w:t>云南省昆明市西山区环城南路668号东南亚商场写字楼A座17楼2、3号，联系方式：杨帆15198977600。</w:t>
      </w:r>
    </w:p>
    <w:p w14:paraId="7D68D11D">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⑤投标人自行承担提供样品成本、运费等费用。</w:t>
      </w:r>
    </w:p>
    <w:p w14:paraId="6DAC87FA">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（3）样品的接收与保管</w:t>
      </w:r>
    </w:p>
    <w:p w14:paraId="14181393">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①样品接收单位、接收人及联系电话：</w:t>
      </w:r>
    </w:p>
    <w:p w14:paraId="27F6A3AF">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样品接收单位：云南蓝本招标咨询有限公司</w:t>
      </w:r>
    </w:p>
    <w:p w14:paraId="40805902">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样品接收人及联系电话：杨帆15198977600</w:t>
      </w:r>
    </w:p>
    <w:p w14:paraId="2F25E70F">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②样品到达接收单位时，由样品接收人对样品的数量、提交要求等进行初步检查，检查完成并经投标人确认后做好登记，接收过程由接收单位全程录音录像。</w:t>
      </w:r>
    </w:p>
    <w:p w14:paraId="6D932EA9">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③样品接收单位在接收样品后，将按照样品登记顺序对样品进行编号，此编号作为参与评审样品的代号。</w:t>
      </w:r>
    </w:p>
    <w:p w14:paraId="190CF5E5">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④样品接收单位应对接收的样品进行妥善保管，并承担保管责任。</w:t>
      </w:r>
    </w:p>
    <w:p w14:paraId="3C9BD1D6">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3.未提供样品或样品不符合本章样品提交要求的处理办法：</w:t>
      </w:r>
    </w:p>
    <w:p w14:paraId="0C062953">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（1）如投标人未提供实物样品的或提供的实物样品不符合采购需求中对饮片规格型号有特殊规定的，对于第六章 评标办法(综合评分法)中规定的对应样品评分项则不得分。</w:t>
      </w:r>
    </w:p>
    <w:p w14:paraId="67088F04">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（2）如投标人未按本章要求的样品名称、数量提供的，样品接收单位将在递交样品的截止时间前告知投标人修改完善；若投标人拒绝修改完善或者未在时间允许范围内修改完善的，则该项不得分。</w:t>
      </w:r>
    </w:p>
    <w:p w14:paraId="61755B09">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投标人提交的样品出现投标人信息、生产企业名称地址、商标或其他标志性标识且未做遮封处理的，样品接收单位将在递交样品的截止时间前告知投标人修改完善；若投标人拒绝修改完善或者未在时间允许范围内修改完善的，其响应文件在评审阶段将被认定为无效响应。</w:t>
      </w:r>
    </w:p>
    <w:p w14:paraId="2A84FDE2">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4.样品封存、保管及退回</w:t>
      </w:r>
    </w:p>
    <w:p w14:paraId="1D0D1C4B">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审活动结束后，由样品接收单位按照登记接收的样品名称、数量（除批准文号管理的饮片外）对中标人提交的样品及时封存（统一装箱），然后交由招标人保管，作为后期履约验收的参考。中标后投标人需按招标人要求在招标人监督下对所提供的标包样品制作标签并用规定的瓶子进行分装密封。</w:t>
      </w:r>
    </w:p>
    <w:p w14:paraId="054E3E04">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于未中标人的样品，样品接收单位将在中标公告发出当天电话通知各投标人认领，由未中标人前往递交样品的地点自行取回并签字确认。逾期未取回的样品，经未中标人同意后可由样品接收单位自行处理。</w:t>
      </w:r>
    </w:p>
    <w:p w14:paraId="72496271">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未中标人需要采用邮寄形式取回样品的，应电话告知样品接收单位，样品接收单位按照登记接收的样品名称、数量按未中标人提供的地址邮寄至未中标人，样品接收单位登记的退回时间以快递取件时间为准。样品邮寄费用及样品邮寄途中的损坏、遗失等由未中标人自行承担。</w:t>
      </w:r>
    </w:p>
    <w:p w14:paraId="6220997D">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（3）样品封存、退回过程由接收单位全程录音录像。</w:t>
      </w:r>
    </w:p>
    <w:p w14:paraId="0E507772">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5.样品的评审：</w:t>
      </w:r>
    </w:p>
    <w:p w14:paraId="5A4BECE6">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（1）评标委员会采用样品编号的方式对样品进行评审。</w:t>
      </w:r>
    </w:p>
    <w:p w14:paraId="6093C08F">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（2）评审过程中可能对样品进行拆散或作破坏性测试，由此可能造成的损坏由投标人自行承担。</w:t>
      </w:r>
    </w:p>
    <w:p w14:paraId="6475D7A0">
      <w:pPr>
        <w:pStyle w:val="48"/>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contextualSpacing/>
        <w:jc w:val="left"/>
        <w:textAlignment w:val="auto"/>
        <w:rPr>
          <w:rFonts w:hint="eastAsia" w:ascii="仿宋" w:hAnsi="仿宋" w:eastAsia="仿宋" w:cs="仿宋"/>
          <w:color w:val="auto"/>
          <w:sz w:val="24"/>
          <w:szCs w:val="24"/>
          <w:highlight w:val="none"/>
          <w:lang w:val="en-US" w:eastAsia="zh-CN"/>
        </w:rPr>
      </w:pPr>
    </w:p>
    <w:p w14:paraId="37EC3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590"/>
      <w:bookmarkEnd w:id="591"/>
      <w:bookmarkEnd w:id="592"/>
      <w:bookmarkEnd w:id="593"/>
      <w:bookmarkEnd w:id="594"/>
      <w:bookmarkEnd w:id="654"/>
      <w:bookmarkEnd w:id="655"/>
      <w:bookmarkEnd w:id="656"/>
      <w:bookmarkEnd w:id="657"/>
      <w:bookmarkStart w:id="669" w:name="_Toc16182"/>
      <w:bookmarkEnd w:id="669"/>
      <w:bookmarkStart w:id="670" w:name="_Toc13248"/>
      <w:bookmarkEnd w:id="670"/>
      <w:bookmarkStart w:id="671" w:name="_Toc4093"/>
      <w:bookmarkEnd w:id="671"/>
      <w:bookmarkStart w:id="672" w:name="_Toc7673"/>
      <w:bookmarkEnd w:id="672"/>
    </w:p>
    <w:p w14:paraId="5B3BEE7C">
      <w:pPr>
        <w:pStyle w:val="2"/>
        <w:numPr>
          <w:ilvl w:val="0"/>
          <w:numId w:val="0"/>
        </w:numPr>
        <w:shd w:val="clear"/>
        <w:outlineLvl w:val="0"/>
        <w:rPr>
          <w:rFonts w:hint="eastAsia" w:ascii="仿宋" w:hAnsi="仿宋" w:eastAsia="仿宋" w:cs="仿宋"/>
          <w:color w:val="auto"/>
          <w:highlight w:val="none"/>
          <w:lang w:val="en-US" w:eastAsia="zh-CN"/>
        </w:rPr>
      </w:pPr>
      <w:bookmarkStart w:id="673" w:name="_Toc30171"/>
      <w:bookmarkStart w:id="674" w:name="_Toc26823"/>
      <w:bookmarkStart w:id="675" w:name="_Toc25153"/>
      <w:bookmarkStart w:id="676" w:name="_Toc29288"/>
      <w:bookmarkStart w:id="677" w:name="_Toc20392"/>
      <w:r>
        <w:rPr>
          <w:rFonts w:hint="eastAsia" w:ascii="仿宋" w:hAnsi="仿宋" w:eastAsia="仿宋" w:cs="仿宋"/>
          <w:color w:val="auto"/>
          <w:highlight w:val="none"/>
          <w:lang w:val="en-US" w:eastAsia="zh-CN"/>
        </w:rPr>
        <w:t>第六章  资格审查标准</w:t>
      </w:r>
      <w:bookmarkEnd w:id="673"/>
    </w:p>
    <w:p w14:paraId="318B9802">
      <w:pPr>
        <w:pStyle w:val="3"/>
        <w:widowControl/>
        <w:shd w:val="clear"/>
        <w:ind w:firstLine="3373" w:firstLineChars="1200"/>
        <w:outlineLvl w:val="1"/>
        <w:rPr>
          <w:rFonts w:hint="eastAsia" w:ascii="仿宋" w:hAnsi="仿宋" w:eastAsia="仿宋" w:cs="仿宋"/>
          <w:color w:val="auto"/>
          <w:szCs w:val="32"/>
          <w:highlight w:val="none"/>
        </w:rPr>
      </w:pPr>
      <w:bookmarkStart w:id="678" w:name="_Toc20260"/>
      <w:r>
        <w:rPr>
          <w:rFonts w:hint="eastAsia" w:ascii="仿宋" w:hAnsi="仿宋" w:eastAsia="仿宋" w:cs="仿宋"/>
          <w:color w:val="auto"/>
          <w:sz w:val="28"/>
          <w:szCs w:val="28"/>
          <w:highlight w:val="none"/>
        </w:rPr>
        <w:t>评标办法前附表</w:t>
      </w:r>
      <w:bookmarkEnd w:id="678"/>
    </w:p>
    <w:tbl>
      <w:tblPr>
        <w:tblStyle w:val="23"/>
        <w:tblW w:w="92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739"/>
        <w:gridCol w:w="618"/>
        <w:gridCol w:w="5177"/>
        <w:gridCol w:w="2704"/>
        <w:gridCol w:w="1"/>
      </w:tblGrid>
      <w:tr w14:paraId="52A91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gridAfter w:val="1"/>
          <w:wAfter w:w="1" w:type="dxa"/>
          <w:trHeight w:val="567" w:hRule="atLeast"/>
          <w:jc w:val="center"/>
        </w:trPr>
        <w:tc>
          <w:tcPr>
            <w:tcW w:w="739" w:type="dxa"/>
            <w:shd w:val="clear" w:color="auto" w:fill="FFFFFF"/>
            <w:vAlign w:val="center"/>
          </w:tcPr>
          <w:p w14:paraId="7A0D8589">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审查项目</w:t>
            </w:r>
          </w:p>
        </w:tc>
        <w:tc>
          <w:tcPr>
            <w:tcW w:w="5795" w:type="dxa"/>
            <w:gridSpan w:val="2"/>
            <w:shd w:val="clear" w:color="auto" w:fill="FFFFFF"/>
            <w:vAlign w:val="center"/>
          </w:tcPr>
          <w:p w14:paraId="66C32620">
            <w:pPr>
              <w:spacing w:line="400" w:lineRule="exact"/>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审查内容</w:t>
            </w:r>
          </w:p>
        </w:tc>
        <w:tc>
          <w:tcPr>
            <w:tcW w:w="2704" w:type="dxa"/>
            <w:shd w:val="clear" w:color="auto" w:fill="FFFFFF"/>
            <w:vAlign w:val="center"/>
          </w:tcPr>
          <w:p w14:paraId="0D9FBB7C">
            <w:pPr>
              <w:spacing w:line="400" w:lineRule="exact"/>
              <w:ind w:firstLine="482" w:firstLineChars="200"/>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审查标准</w:t>
            </w:r>
          </w:p>
        </w:tc>
      </w:tr>
      <w:tr w14:paraId="057F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restart"/>
            <w:shd w:val="clear" w:color="auto" w:fill="FFFFFF"/>
            <w:vAlign w:val="center"/>
          </w:tcPr>
          <w:p w14:paraId="53378EB3">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资格审查</w:t>
            </w:r>
          </w:p>
        </w:tc>
        <w:tc>
          <w:tcPr>
            <w:tcW w:w="8500" w:type="dxa"/>
            <w:gridSpan w:val="4"/>
            <w:shd w:val="clear" w:color="auto" w:fill="FFFFFF"/>
            <w:vAlign w:val="center"/>
          </w:tcPr>
          <w:p w14:paraId="675DAF77">
            <w:pPr>
              <w:snapToGrid w:val="0"/>
              <w:spacing w:line="400" w:lineRule="exact"/>
              <w:rPr>
                <w:rFonts w:hint="eastAsia" w:ascii="仿宋" w:hAnsi="仿宋" w:eastAsia="仿宋" w:cs="仿宋"/>
                <w:sz w:val="24"/>
                <w:szCs w:val="24"/>
                <w:highlight w:val="none"/>
              </w:rPr>
            </w:pPr>
            <w:r>
              <w:rPr>
                <w:rFonts w:hint="eastAsia" w:ascii="仿宋" w:hAnsi="仿宋" w:eastAsia="仿宋" w:cs="仿宋"/>
                <w:b/>
                <w:sz w:val="24"/>
                <w:highlight w:val="none"/>
              </w:rPr>
              <w:t>1.满足《中华人民共和国政府采购法》第二十二条规定：</w:t>
            </w:r>
          </w:p>
        </w:tc>
      </w:tr>
      <w:tr w14:paraId="02B1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continue"/>
            <w:shd w:val="clear" w:color="auto" w:fill="FFFFFF"/>
            <w:vAlign w:val="center"/>
          </w:tcPr>
          <w:p w14:paraId="637EEBA4">
            <w:pPr>
              <w:spacing w:line="400" w:lineRule="exact"/>
              <w:rPr>
                <w:rFonts w:hint="eastAsia" w:ascii="仿宋" w:hAnsi="仿宋" w:eastAsia="仿宋" w:cs="仿宋"/>
                <w:sz w:val="24"/>
                <w:szCs w:val="24"/>
                <w:highlight w:val="none"/>
              </w:rPr>
            </w:pPr>
          </w:p>
        </w:tc>
        <w:tc>
          <w:tcPr>
            <w:tcW w:w="618" w:type="dxa"/>
            <w:shd w:val="clear" w:color="auto" w:fill="FFFFFF"/>
            <w:vAlign w:val="center"/>
          </w:tcPr>
          <w:p w14:paraId="56D271EE">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1.1</w:t>
            </w:r>
          </w:p>
        </w:tc>
        <w:tc>
          <w:tcPr>
            <w:tcW w:w="5177" w:type="dxa"/>
            <w:shd w:val="clear" w:color="auto" w:fill="FFFFFF"/>
            <w:vAlign w:val="center"/>
          </w:tcPr>
          <w:p w14:paraId="74790B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2705" w:type="dxa"/>
            <w:gridSpan w:val="2"/>
            <w:vMerge w:val="restart"/>
            <w:shd w:val="clear" w:color="auto" w:fill="FFFFFF"/>
            <w:vAlign w:val="center"/>
          </w:tcPr>
          <w:p w14:paraId="6DE07C16">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符合第</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val="en-US" w:eastAsia="zh-CN"/>
              </w:rPr>
              <w:t>招标公告</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投标人的资格要求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规定，且提供了招标文件要求提供的证明材料。</w:t>
            </w:r>
          </w:p>
        </w:tc>
      </w:tr>
      <w:tr w14:paraId="59F8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continue"/>
            <w:shd w:val="clear" w:color="auto" w:fill="FFFFFF"/>
            <w:vAlign w:val="center"/>
          </w:tcPr>
          <w:p w14:paraId="75A9FB54">
            <w:pPr>
              <w:spacing w:line="400" w:lineRule="exact"/>
              <w:rPr>
                <w:rFonts w:hint="eastAsia" w:ascii="仿宋" w:hAnsi="仿宋" w:eastAsia="仿宋" w:cs="仿宋"/>
                <w:sz w:val="24"/>
                <w:szCs w:val="24"/>
                <w:highlight w:val="none"/>
              </w:rPr>
            </w:pPr>
          </w:p>
        </w:tc>
        <w:tc>
          <w:tcPr>
            <w:tcW w:w="618" w:type="dxa"/>
            <w:shd w:val="clear" w:color="auto" w:fill="FFFFFF"/>
            <w:vAlign w:val="center"/>
          </w:tcPr>
          <w:p w14:paraId="252B750D">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1.2</w:t>
            </w:r>
          </w:p>
        </w:tc>
        <w:tc>
          <w:tcPr>
            <w:tcW w:w="5177" w:type="dxa"/>
            <w:shd w:val="clear" w:color="auto" w:fill="FFFFFF"/>
            <w:vAlign w:val="center"/>
          </w:tcPr>
          <w:p w14:paraId="2DBAB44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有良好的商业信誉和健全的财务会计制度；</w:t>
            </w:r>
          </w:p>
        </w:tc>
        <w:tc>
          <w:tcPr>
            <w:tcW w:w="2705" w:type="dxa"/>
            <w:gridSpan w:val="2"/>
            <w:vMerge w:val="continue"/>
            <w:shd w:val="clear" w:color="auto" w:fill="FFFFFF"/>
            <w:vAlign w:val="center"/>
          </w:tcPr>
          <w:p w14:paraId="047D2635">
            <w:pPr>
              <w:spacing w:line="400" w:lineRule="exact"/>
              <w:ind w:firstLine="480" w:firstLineChars="200"/>
              <w:rPr>
                <w:rFonts w:hint="eastAsia" w:ascii="仿宋" w:hAnsi="仿宋" w:eastAsia="仿宋" w:cs="仿宋"/>
                <w:sz w:val="24"/>
                <w:szCs w:val="24"/>
                <w:highlight w:val="none"/>
              </w:rPr>
            </w:pPr>
          </w:p>
        </w:tc>
      </w:tr>
      <w:tr w14:paraId="78E3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continue"/>
            <w:shd w:val="clear" w:color="auto" w:fill="FFFFFF"/>
            <w:vAlign w:val="center"/>
          </w:tcPr>
          <w:p w14:paraId="51854E52">
            <w:pPr>
              <w:spacing w:line="400" w:lineRule="exact"/>
              <w:rPr>
                <w:rFonts w:hint="eastAsia" w:ascii="仿宋" w:hAnsi="仿宋" w:eastAsia="仿宋" w:cs="仿宋"/>
                <w:sz w:val="24"/>
                <w:szCs w:val="24"/>
                <w:highlight w:val="none"/>
              </w:rPr>
            </w:pPr>
          </w:p>
        </w:tc>
        <w:tc>
          <w:tcPr>
            <w:tcW w:w="618" w:type="dxa"/>
            <w:shd w:val="clear" w:color="auto" w:fill="FFFFFF"/>
            <w:vAlign w:val="center"/>
          </w:tcPr>
          <w:p w14:paraId="68ADBF06">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1.3</w:t>
            </w:r>
          </w:p>
        </w:tc>
        <w:tc>
          <w:tcPr>
            <w:tcW w:w="5177" w:type="dxa"/>
            <w:shd w:val="clear" w:color="auto" w:fill="FFFFFF"/>
            <w:vAlign w:val="center"/>
          </w:tcPr>
          <w:p w14:paraId="5853CB3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2705" w:type="dxa"/>
            <w:gridSpan w:val="2"/>
            <w:vMerge w:val="continue"/>
            <w:shd w:val="clear" w:color="auto" w:fill="FFFFFF"/>
            <w:vAlign w:val="center"/>
          </w:tcPr>
          <w:p w14:paraId="60CF59F3">
            <w:pPr>
              <w:spacing w:line="400" w:lineRule="exact"/>
              <w:ind w:firstLine="480" w:firstLineChars="200"/>
              <w:rPr>
                <w:rFonts w:hint="eastAsia" w:ascii="仿宋" w:hAnsi="仿宋" w:eastAsia="仿宋" w:cs="仿宋"/>
                <w:sz w:val="24"/>
                <w:szCs w:val="24"/>
                <w:highlight w:val="none"/>
              </w:rPr>
            </w:pPr>
          </w:p>
        </w:tc>
      </w:tr>
      <w:tr w14:paraId="2978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continue"/>
            <w:shd w:val="clear" w:color="auto" w:fill="FFFFFF"/>
            <w:vAlign w:val="center"/>
          </w:tcPr>
          <w:p w14:paraId="238F03BB">
            <w:pPr>
              <w:spacing w:line="400" w:lineRule="exact"/>
              <w:rPr>
                <w:rFonts w:hint="eastAsia" w:ascii="仿宋" w:hAnsi="仿宋" w:eastAsia="仿宋" w:cs="仿宋"/>
                <w:sz w:val="24"/>
                <w:szCs w:val="24"/>
                <w:highlight w:val="none"/>
              </w:rPr>
            </w:pPr>
          </w:p>
        </w:tc>
        <w:tc>
          <w:tcPr>
            <w:tcW w:w="618" w:type="dxa"/>
            <w:shd w:val="clear" w:color="auto" w:fill="FFFFFF"/>
            <w:vAlign w:val="center"/>
          </w:tcPr>
          <w:p w14:paraId="650DE928">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1.4</w:t>
            </w:r>
          </w:p>
        </w:tc>
        <w:tc>
          <w:tcPr>
            <w:tcW w:w="5177" w:type="dxa"/>
            <w:shd w:val="clear" w:color="auto" w:fill="FFFFFF"/>
            <w:vAlign w:val="center"/>
          </w:tcPr>
          <w:p w14:paraId="7692C10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w:t>
            </w:r>
          </w:p>
        </w:tc>
        <w:tc>
          <w:tcPr>
            <w:tcW w:w="2705" w:type="dxa"/>
            <w:gridSpan w:val="2"/>
            <w:vMerge w:val="continue"/>
            <w:shd w:val="clear" w:color="auto" w:fill="FFFFFF"/>
            <w:vAlign w:val="center"/>
          </w:tcPr>
          <w:p w14:paraId="0D51C0DE">
            <w:pPr>
              <w:spacing w:line="400" w:lineRule="exact"/>
              <w:ind w:firstLine="480" w:firstLineChars="200"/>
              <w:rPr>
                <w:rFonts w:hint="eastAsia" w:ascii="仿宋" w:hAnsi="仿宋" w:eastAsia="仿宋" w:cs="仿宋"/>
                <w:sz w:val="24"/>
                <w:szCs w:val="24"/>
                <w:highlight w:val="none"/>
              </w:rPr>
            </w:pPr>
          </w:p>
        </w:tc>
      </w:tr>
      <w:tr w14:paraId="65C94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continue"/>
            <w:shd w:val="clear" w:color="auto" w:fill="FFFFFF"/>
            <w:vAlign w:val="center"/>
          </w:tcPr>
          <w:p w14:paraId="5F192EDF">
            <w:pPr>
              <w:spacing w:line="400" w:lineRule="exact"/>
              <w:rPr>
                <w:rFonts w:hint="eastAsia" w:ascii="仿宋" w:hAnsi="仿宋" w:eastAsia="仿宋" w:cs="仿宋"/>
                <w:sz w:val="24"/>
                <w:szCs w:val="24"/>
                <w:highlight w:val="none"/>
              </w:rPr>
            </w:pPr>
          </w:p>
        </w:tc>
        <w:tc>
          <w:tcPr>
            <w:tcW w:w="618" w:type="dxa"/>
            <w:shd w:val="clear" w:color="auto" w:fill="FFFFFF"/>
            <w:vAlign w:val="center"/>
          </w:tcPr>
          <w:p w14:paraId="6601F9A5">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1.5</w:t>
            </w:r>
          </w:p>
        </w:tc>
        <w:tc>
          <w:tcPr>
            <w:tcW w:w="5177" w:type="dxa"/>
            <w:shd w:val="clear" w:color="auto" w:fill="FFFFFF"/>
            <w:vAlign w:val="center"/>
          </w:tcPr>
          <w:p w14:paraId="1F6692E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参加政府采购活动前三年内，在经营活动中没有重大违法记录</w:t>
            </w:r>
            <w:r>
              <w:rPr>
                <w:rFonts w:hint="eastAsia" w:ascii="仿宋" w:hAnsi="仿宋" w:eastAsia="仿宋" w:cs="仿宋"/>
                <w:sz w:val="24"/>
                <w:szCs w:val="24"/>
                <w:highlight w:val="none"/>
              </w:rPr>
              <w:t>；（投标人自行承诺）</w:t>
            </w:r>
          </w:p>
        </w:tc>
        <w:tc>
          <w:tcPr>
            <w:tcW w:w="2705" w:type="dxa"/>
            <w:gridSpan w:val="2"/>
            <w:vMerge w:val="continue"/>
            <w:shd w:val="clear" w:color="auto" w:fill="FFFFFF"/>
            <w:vAlign w:val="center"/>
          </w:tcPr>
          <w:p w14:paraId="12C49DD6">
            <w:pPr>
              <w:spacing w:line="400" w:lineRule="exact"/>
              <w:ind w:firstLine="480" w:firstLineChars="200"/>
              <w:rPr>
                <w:rFonts w:hint="eastAsia" w:ascii="仿宋" w:hAnsi="仿宋" w:eastAsia="仿宋" w:cs="仿宋"/>
                <w:sz w:val="24"/>
                <w:szCs w:val="24"/>
                <w:highlight w:val="none"/>
                <w:lang w:eastAsia="zh-CN"/>
              </w:rPr>
            </w:pPr>
          </w:p>
        </w:tc>
      </w:tr>
      <w:tr w14:paraId="6700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739" w:type="dxa"/>
            <w:vMerge w:val="continue"/>
            <w:shd w:val="clear" w:color="auto" w:fill="FFFFFF"/>
            <w:vAlign w:val="center"/>
          </w:tcPr>
          <w:p w14:paraId="12D8F6A7">
            <w:pPr>
              <w:spacing w:line="400" w:lineRule="exact"/>
              <w:rPr>
                <w:rFonts w:hint="eastAsia" w:ascii="仿宋" w:hAnsi="仿宋" w:eastAsia="仿宋" w:cs="仿宋"/>
                <w:sz w:val="24"/>
                <w:szCs w:val="24"/>
                <w:highlight w:val="none"/>
              </w:rPr>
            </w:pPr>
          </w:p>
        </w:tc>
        <w:tc>
          <w:tcPr>
            <w:tcW w:w="618" w:type="dxa"/>
            <w:shd w:val="clear" w:color="auto" w:fill="FFFFFF"/>
            <w:vAlign w:val="center"/>
          </w:tcPr>
          <w:p w14:paraId="24D3EE7A">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5177" w:type="dxa"/>
            <w:shd w:val="clear" w:color="auto" w:fill="FFFFFF"/>
            <w:vAlign w:val="center"/>
          </w:tcPr>
          <w:p w14:paraId="0457E03C">
            <w:pPr>
              <w:keepNext w:val="0"/>
              <w:keepLines w:val="0"/>
              <w:pageBreakBefore w:val="0"/>
              <w:widowControl w:val="0"/>
              <w:shd w:val="clear" w:fill="FFFFFF" w:themeFill="background1"/>
              <w:kinsoku/>
              <w:wordWrap/>
              <w:overflowPunct/>
              <w:topLinePunct w:val="0"/>
              <w:autoSpaceDE/>
              <w:autoSpaceDN/>
              <w:bidi w:val="0"/>
              <w:adjustRightInd/>
              <w:snapToGrid/>
              <w:spacing w:line="240" w:lineRule="auto"/>
              <w:ind w:firstLine="0" w:firstLineChars="0"/>
              <w:contextualSpacing/>
              <w:jc w:val="left"/>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法律、行政法规规定的其他条件；</w:t>
            </w:r>
          </w:p>
        </w:tc>
        <w:tc>
          <w:tcPr>
            <w:tcW w:w="2705" w:type="dxa"/>
            <w:gridSpan w:val="2"/>
            <w:vMerge w:val="continue"/>
            <w:shd w:val="clear" w:color="auto" w:fill="FFFFFF"/>
            <w:vAlign w:val="center"/>
          </w:tcPr>
          <w:p w14:paraId="6BE36782">
            <w:pPr>
              <w:spacing w:line="400" w:lineRule="exact"/>
              <w:ind w:firstLine="480" w:firstLineChars="200"/>
              <w:rPr>
                <w:rFonts w:hint="eastAsia" w:ascii="仿宋" w:hAnsi="仿宋" w:eastAsia="仿宋" w:cs="仿宋"/>
                <w:color w:val="auto"/>
                <w:sz w:val="24"/>
                <w:szCs w:val="22"/>
                <w:highlight w:val="none"/>
                <w:lang w:eastAsia="zh-CN"/>
              </w:rPr>
            </w:pPr>
          </w:p>
        </w:tc>
      </w:tr>
      <w:tr w14:paraId="7393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gridAfter w:val="1"/>
          <w:wAfter w:w="1" w:type="dxa"/>
          <w:trHeight w:val="567" w:hRule="atLeast"/>
          <w:jc w:val="center"/>
        </w:trPr>
        <w:tc>
          <w:tcPr>
            <w:tcW w:w="739" w:type="dxa"/>
            <w:vMerge w:val="continue"/>
            <w:shd w:val="clear" w:color="auto" w:fill="FFFFFF"/>
            <w:vAlign w:val="center"/>
          </w:tcPr>
          <w:p w14:paraId="616573C3">
            <w:pPr>
              <w:spacing w:line="400" w:lineRule="exact"/>
              <w:rPr>
                <w:rFonts w:hint="eastAsia" w:ascii="仿宋" w:hAnsi="仿宋" w:eastAsia="仿宋" w:cs="仿宋"/>
                <w:sz w:val="24"/>
                <w:szCs w:val="24"/>
                <w:highlight w:val="none"/>
              </w:rPr>
            </w:pPr>
          </w:p>
        </w:tc>
        <w:tc>
          <w:tcPr>
            <w:tcW w:w="5795" w:type="dxa"/>
            <w:gridSpan w:val="2"/>
            <w:shd w:val="clear" w:color="auto" w:fill="FFFFFF"/>
            <w:vAlign w:val="center"/>
          </w:tcPr>
          <w:p w14:paraId="1B836754">
            <w:pPr>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2.落实政府采购政策需满足的资格要求</w:t>
            </w:r>
            <w:r>
              <w:rPr>
                <w:rFonts w:hint="eastAsia" w:ascii="仿宋" w:hAnsi="仿宋" w:eastAsia="仿宋" w:cs="仿宋"/>
                <w:b/>
                <w:bCs/>
                <w:sz w:val="24"/>
                <w:highlight w:val="none"/>
                <w:lang w:eastAsia="zh-CN"/>
              </w:rPr>
              <w:t>。</w:t>
            </w:r>
          </w:p>
        </w:tc>
        <w:tc>
          <w:tcPr>
            <w:tcW w:w="2704" w:type="dxa"/>
            <w:vMerge w:val="continue"/>
            <w:shd w:val="clear" w:color="auto" w:fill="FFFFFF"/>
            <w:vAlign w:val="center"/>
          </w:tcPr>
          <w:p w14:paraId="1FC5AF42">
            <w:pPr>
              <w:spacing w:line="400" w:lineRule="exact"/>
              <w:jc w:val="left"/>
              <w:rPr>
                <w:rFonts w:hint="eastAsia" w:ascii="仿宋" w:hAnsi="仿宋" w:eastAsia="仿宋" w:cs="仿宋"/>
                <w:b/>
                <w:bCs/>
                <w:sz w:val="24"/>
                <w:highlight w:val="none"/>
              </w:rPr>
            </w:pPr>
          </w:p>
        </w:tc>
      </w:tr>
      <w:tr w14:paraId="7F0EF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 w:type="dxa"/>
          <w:trHeight w:val="567" w:hRule="atLeast"/>
          <w:jc w:val="center"/>
        </w:trPr>
        <w:tc>
          <w:tcPr>
            <w:tcW w:w="739" w:type="dxa"/>
            <w:vMerge w:val="continue"/>
            <w:shd w:val="clear" w:color="auto" w:fill="FFFFFF"/>
            <w:vAlign w:val="center"/>
          </w:tcPr>
          <w:p w14:paraId="0578A9A3">
            <w:pPr>
              <w:spacing w:line="400" w:lineRule="exact"/>
              <w:rPr>
                <w:rFonts w:hint="eastAsia" w:ascii="仿宋" w:hAnsi="仿宋" w:eastAsia="仿宋" w:cs="仿宋"/>
                <w:sz w:val="24"/>
                <w:szCs w:val="24"/>
                <w:highlight w:val="none"/>
              </w:rPr>
            </w:pPr>
          </w:p>
        </w:tc>
        <w:tc>
          <w:tcPr>
            <w:tcW w:w="5795" w:type="dxa"/>
            <w:gridSpan w:val="2"/>
            <w:shd w:val="clear" w:color="auto" w:fill="FFFFFF"/>
            <w:vAlign w:val="center"/>
          </w:tcPr>
          <w:p w14:paraId="64226908">
            <w:pPr>
              <w:spacing w:line="400" w:lineRule="exact"/>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rPr>
              <w:t>3.本项目的特定资格要求</w:t>
            </w:r>
            <w:r>
              <w:rPr>
                <w:rFonts w:hint="eastAsia" w:ascii="仿宋" w:hAnsi="仿宋" w:eastAsia="仿宋" w:cs="仿宋"/>
                <w:b/>
                <w:bCs/>
                <w:sz w:val="24"/>
                <w:highlight w:val="none"/>
                <w:lang w:eastAsia="zh-CN"/>
              </w:rPr>
              <w:t>。</w:t>
            </w:r>
          </w:p>
        </w:tc>
        <w:tc>
          <w:tcPr>
            <w:tcW w:w="2704" w:type="dxa"/>
            <w:vMerge w:val="continue"/>
            <w:shd w:val="clear" w:color="auto" w:fill="FFFFFF"/>
            <w:vAlign w:val="center"/>
          </w:tcPr>
          <w:p w14:paraId="0499CC0C">
            <w:pPr>
              <w:spacing w:line="400" w:lineRule="exact"/>
              <w:jc w:val="left"/>
              <w:rPr>
                <w:rFonts w:hint="eastAsia" w:ascii="仿宋" w:hAnsi="仿宋" w:eastAsia="仿宋" w:cs="仿宋"/>
                <w:b/>
                <w:bCs/>
                <w:sz w:val="24"/>
                <w:highlight w:val="none"/>
              </w:rPr>
            </w:pPr>
          </w:p>
        </w:tc>
      </w:tr>
    </w:tbl>
    <w:p w14:paraId="55D8C4EF">
      <w:pPr>
        <w:spacing w:line="360" w:lineRule="auto"/>
        <w:ind w:firstLine="480" w:firstLineChars="20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资格审查</w:t>
      </w:r>
    </w:p>
    <w:p w14:paraId="1E4EF9AC">
      <w:pPr>
        <w:spacing w:line="360" w:lineRule="auto"/>
        <w:ind w:firstLine="480" w:firstLineChars="20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1.1开标结束后，</w:t>
      </w:r>
      <w:r>
        <w:rPr>
          <w:rFonts w:hint="eastAsia" w:ascii="仿宋" w:hAnsi="仿宋" w:eastAsia="仿宋" w:cs="仿宋"/>
          <w:sz w:val="24"/>
          <w:szCs w:val="22"/>
          <w:highlight w:val="none"/>
          <w:lang w:eastAsia="zh-CN"/>
        </w:rPr>
        <w:t>招标人</w:t>
      </w:r>
      <w:r>
        <w:rPr>
          <w:rFonts w:hint="eastAsia" w:ascii="仿宋" w:hAnsi="仿宋" w:eastAsia="仿宋" w:cs="仿宋"/>
          <w:sz w:val="24"/>
          <w:szCs w:val="22"/>
          <w:highlight w:val="none"/>
        </w:rPr>
        <w:t>或者采购代理机构将依法对投标人的资格进行审查，合格投标人不足3家的，不得评标。</w:t>
      </w:r>
    </w:p>
    <w:p w14:paraId="537A9ADF">
      <w:pPr>
        <w:spacing w:line="360" w:lineRule="auto"/>
        <w:ind w:firstLine="480" w:firstLineChars="20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1.2</w:t>
      </w:r>
      <w:r>
        <w:rPr>
          <w:rFonts w:hint="eastAsia" w:ascii="仿宋" w:hAnsi="仿宋" w:eastAsia="仿宋" w:cs="仿宋"/>
          <w:sz w:val="24"/>
          <w:szCs w:val="22"/>
          <w:highlight w:val="none"/>
          <w:lang w:eastAsia="zh-CN"/>
        </w:rPr>
        <w:t>招标人</w:t>
      </w:r>
      <w:r>
        <w:rPr>
          <w:rFonts w:hint="eastAsia" w:ascii="仿宋" w:hAnsi="仿宋" w:eastAsia="仿宋" w:cs="仿宋"/>
          <w:sz w:val="24"/>
          <w:szCs w:val="22"/>
          <w:highlight w:val="none"/>
        </w:rPr>
        <w:t>或者采购代理机构按照招标文件第一章《招标公告》二、投标人资格要求的规定对投标人投标文件中资格证明文件及</w:t>
      </w:r>
      <w:r>
        <w:rPr>
          <w:rFonts w:hint="eastAsia" w:ascii="仿宋" w:hAnsi="仿宋" w:eastAsia="仿宋" w:cs="仿宋"/>
          <w:sz w:val="24"/>
          <w:szCs w:val="22"/>
          <w:highlight w:val="none"/>
          <w:lang w:eastAsia="zh-CN"/>
        </w:rPr>
        <w:t>招标人</w:t>
      </w:r>
      <w:r>
        <w:rPr>
          <w:rFonts w:hint="eastAsia" w:ascii="仿宋" w:hAnsi="仿宋" w:eastAsia="仿宋" w:cs="仿宋"/>
          <w:sz w:val="24"/>
          <w:szCs w:val="22"/>
          <w:highlight w:val="none"/>
        </w:rPr>
        <w:t>、采购代理机构通过互联网或者相关信息系统的查询结果进行审查。</w:t>
      </w:r>
    </w:p>
    <w:p w14:paraId="57DFCBC2">
      <w:pPr>
        <w:spacing w:line="360" w:lineRule="auto"/>
        <w:ind w:firstLine="480" w:firstLineChars="20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1.3如投标人</w:t>
      </w:r>
      <w:r>
        <w:rPr>
          <w:rFonts w:hint="eastAsia" w:ascii="仿宋" w:hAnsi="仿宋" w:eastAsia="仿宋" w:cs="仿宋"/>
          <w:sz w:val="24"/>
          <w:szCs w:val="22"/>
          <w:highlight w:val="none"/>
          <w:lang w:eastAsia="zh-CN"/>
        </w:rPr>
        <w:t>未</w:t>
      </w:r>
      <w:r>
        <w:rPr>
          <w:rFonts w:hint="eastAsia" w:ascii="仿宋" w:hAnsi="仿宋" w:eastAsia="仿宋" w:cs="仿宋"/>
          <w:sz w:val="24"/>
          <w:szCs w:val="22"/>
          <w:highlight w:val="none"/>
        </w:rPr>
        <w:t xml:space="preserve">满足投标人资格要求提供虚假材料，一经查实，视为未实质性响应招标文件，投标人投标文件将按无效处理。 </w:t>
      </w:r>
    </w:p>
    <w:p w14:paraId="5B43B4C1">
      <w:pPr>
        <w:spacing w:line="360" w:lineRule="auto"/>
        <w:ind w:firstLine="480" w:firstLineChars="20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1.4</w:t>
      </w:r>
      <w:r>
        <w:rPr>
          <w:rFonts w:hint="eastAsia" w:ascii="仿宋" w:hAnsi="仿宋" w:eastAsia="仿宋" w:cs="仿宋"/>
          <w:sz w:val="24"/>
          <w:szCs w:val="22"/>
          <w:highlight w:val="none"/>
          <w:lang w:eastAsia="zh-CN"/>
        </w:rPr>
        <w:t>招标人</w:t>
      </w:r>
      <w:r>
        <w:rPr>
          <w:rFonts w:hint="eastAsia" w:ascii="仿宋" w:hAnsi="仿宋" w:eastAsia="仿宋" w:cs="仿宋"/>
          <w:sz w:val="24"/>
          <w:szCs w:val="22"/>
          <w:highlight w:val="none"/>
        </w:rPr>
        <w:t>或者采购代理机构在资格审查过程中发现投标人有一项不符合上述规定的，该投标文件按无效投标处理。</w:t>
      </w:r>
    </w:p>
    <w:tbl>
      <w:tblPr>
        <w:tblStyle w:val="23"/>
        <w:tblW w:w="1013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2"/>
        <w:gridCol w:w="795"/>
        <w:gridCol w:w="1965"/>
        <w:gridCol w:w="6786"/>
      </w:tblGrid>
      <w:tr w14:paraId="4902924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exact"/>
          <w:tblHeader/>
          <w:jc w:val="center"/>
        </w:trPr>
        <w:tc>
          <w:tcPr>
            <w:tcW w:w="1387" w:type="dxa"/>
            <w:gridSpan w:val="2"/>
            <w:tcBorders>
              <w:top w:val="thinThickSmallGap" w:color="auto" w:sz="12" w:space="0"/>
              <w:left w:val="thinThickSmallGap" w:color="auto" w:sz="12" w:space="0"/>
              <w:bottom w:val="single" w:color="auto" w:sz="4" w:space="0"/>
              <w:right w:val="single" w:color="auto" w:sz="4" w:space="0"/>
            </w:tcBorders>
            <w:shd w:val="clear" w:color="auto" w:fill="auto"/>
            <w:vAlign w:val="center"/>
          </w:tcPr>
          <w:p w14:paraId="6C5968A3">
            <w:pPr>
              <w:shd w:val="clear"/>
              <w:spacing w:beforeAutospacing="1" w:afterAutospac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965" w:type="dxa"/>
            <w:tcBorders>
              <w:top w:val="thinThickSmallGap" w:color="auto" w:sz="12" w:space="0"/>
              <w:left w:val="single" w:color="auto" w:sz="4" w:space="0"/>
              <w:bottom w:val="single" w:color="auto" w:sz="4" w:space="0"/>
              <w:right w:val="single" w:color="auto" w:sz="4" w:space="0"/>
            </w:tcBorders>
            <w:shd w:val="clear" w:color="auto" w:fill="auto"/>
            <w:vAlign w:val="center"/>
          </w:tcPr>
          <w:p w14:paraId="77494DBD">
            <w:pPr>
              <w:shd w:val="clear"/>
              <w:spacing w:beforeAutospacing="1" w:afterAutospac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6786" w:type="dxa"/>
            <w:tcBorders>
              <w:top w:val="thinThickSmallGap" w:color="auto" w:sz="12" w:space="0"/>
              <w:left w:val="single" w:color="auto" w:sz="4" w:space="0"/>
              <w:bottom w:val="single" w:color="auto" w:sz="4" w:space="0"/>
              <w:right w:val="thickThinSmallGap" w:color="auto" w:sz="12" w:space="0"/>
            </w:tcBorders>
            <w:shd w:val="clear" w:color="auto" w:fill="auto"/>
            <w:vAlign w:val="center"/>
          </w:tcPr>
          <w:p w14:paraId="2200135B">
            <w:pPr>
              <w:shd w:val="clear"/>
              <w:spacing w:beforeAutospacing="1" w:afterAutospac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61371F0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30" w:hRule="exact"/>
          <w:jc w:val="center"/>
        </w:trPr>
        <w:tc>
          <w:tcPr>
            <w:tcW w:w="592" w:type="dxa"/>
            <w:vMerge w:val="restart"/>
            <w:tcBorders>
              <w:top w:val="single" w:color="auto" w:sz="4" w:space="0"/>
              <w:left w:val="thinThickSmallGap" w:color="auto" w:sz="12" w:space="0"/>
              <w:bottom w:val="single" w:color="000000" w:sz="4" w:space="0"/>
              <w:right w:val="single" w:color="000000" w:sz="4" w:space="0"/>
            </w:tcBorders>
            <w:shd w:val="clear" w:color="auto" w:fill="auto"/>
            <w:vAlign w:val="center"/>
          </w:tcPr>
          <w:p w14:paraId="21747396">
            <w:pPr>
              <w:shd w:val="clear"/>
              <w:spacing w:beforeAutospacing="1" w:afterAutospacing="1"/>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CB82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p>
          <w:p w14:paraId="2C9A402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w:t>
            </w:r>
          </w:p>
          <w:p w14:paraId="723C6CC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c>
          <w:tcPr>
            <w:tcW w:w="1965" w:type="dxa"/>
            <w:tcBorders>
              <w:top w:val="single" w:color="auto" w:sz="4" w:space="0"/>
              <w:left w:val="single" w:color="000000" w:sz="4" w:space="0"/>
              <w:bottom w:val="single" w:color="auto" w:sz="4" w:space="0"/>
              <w:right w:val="single" w:color="auto" w:sz="4" w:space="0"/>
            </w:tcBorders>
            <w:shd w:val="clear" w:color="auto" w:fill="auto"/>
            <w:vAlign w:val="center"/>
          </w:tcPr>
          <w:p w14:paraId="5F8B8317">
            <w:pPr>
              <w:shd w:val="clear" w:fill="FFFFFF" w:themeFill="background1"/>
              <w:spacing w:beforeAutospacing="1" w:afterAutospacing="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开标一览表</w:t>
            </w:r>
          </w:p>
        </w:tc>
        <w:tc>
          <w:tcPr>
            <w:tcW w:w="6786" w:type="dxa"/>
            <w:tcBorders>
              <w:top w:val="single" w:color="auto" w:sz="4" w:space="0"/>
              <w:left w:val="single" w:color="auto" w:sz="4" w:space="0"/>
              <w:bottom w:val="single" w:color="auto" w:sz="4" w:space="0"/>
              <w:right w:val="thickThinSmallGap" w:color="auto" w:sz="12" w:space="0"/>
            </w:tcBorders>
            <w:shd w:val="clear" w:color="auto" w:fill="auto"/>
            <w:vAlign w:val="center"/>
          </w:tcPr>
          <w:p w14:paraId="30A36252">
            <w:pPr>
              <w:shd w:val="clear" w:fill="FFFFFF" w:themeFill="background1"/>
              <w:spacing w:beforeAutospacing="1" w:afterAutospacing="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报价未超过采购预算</w:t>
            </w:r>
            <w:r>
              <w:rPr>
                <w:rFonts w:hint="eastAsia" w:ascii="仿宋" w:hAnsi="仿宋" w:eastAsia="仿宋" w:cs="仿宋"/>
                <w:color w:val="auto"/>
                <w:sz w:val="24"/>
                <w:szCs w:val="24"/>
                <w:highlight w:val="none"/>
                <w:lang w:val="en-US" w:eastAsia="zh-CN"/>
              </w:rPr>
              <w:t>限价并符合招标文件要求</w:t>
            </w:r>
            <w:r>
              <w:rPr>
                <w:rFonts w:hint="eastAsia" w:ascii="仿宋" w:hAnsi="仿宋" w:eastAsia="仿宋" w:cs="仿宋"/>
                <w:color w:val="auto"/>
                <w:sz w:val="24"/>
                <w:szCs w:val="24"/>
                <w:highlight w:val="none"/>
              </w:rPr>
              <w:t>。</w:t>
            </w:r>
          </w:p>
        </w:tc>
      </w:tr>
      <w:tr w14:paraId="71E4B6D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7" w:hRule="exact"/>
          <w:jc w:val="center"/>
        </w:trPr>
        <w:tc>
          <w:tcPr>
            <w:tcW w:w="592" w:type="dxa"/>
            <w:vMerge w:val="continue"/>
            <w:tcBorders>
              <w:top w:val="single" w:color="000000" w:sz="4" w:space="0"/>
              <w:left w:val="thinThickSmallGap" w:color="auto" w:sz="12" w:space="0"/>
              <w:bottom w:val="single" w:color="000000" w:sz="4" w:space="0"/>
              <w:right w:val="single" w:color="000000" w:sz="4" w:space="0"/>
            </w:tcBorders>
            <w:shd w:val="clear" w:color="auto" w:fill="auto"/>
            <w:vAlign w:val="center"/>
          </w:tcPr>
          <w:p w14:paraId="093CFD0B">
            <w:pPr>
              <w:shd w:val="clear"/>
              <w:rPr>
                <w:rFonts w:hint="eastAsia" w:ascii="仿宋" w:hAnsi="仿宋" w:eastAsia="仿宋" w:cs="仿宋"/>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64F4">
            <w:pPr>
              <w:shd w:val="clear"/>
              <w:rPr>
                <w:rFonts w:hint="eastAsia" w:ascii="仿宋" w:hAnsi="仿宋" w:eastAsia="仿宋" w:cs="仿宋"/>
                <w:color w:val="auto"/>
                <w:sz w:val="24"/>
                <w:szCs w:val="24"/>
                <w:highlight w:val="none"/>
              </w:rPr>
            </w:pPr>
          </w:p>
        </w:tc>
        <w:tc>
          <w:tcPr>
            <w:tcW w:w="1965" w:type="dxa"/>
            <w:tcBorders>
              <w:top w:val="single" w:color="auto" w:sz="4" w:space="0"/>
              <w:left w:val="single" w:color="000000" w:sz="4" w:space="0"/>
              <w:bottom w:val="single" w:color="auto" w:sz="4" w:space="0"/>
              <w:right w:val="single" w:color="auto" w:sz="4" w:space="0"/>
            </w:tcBorders>
            <w:shd w:val="clear" w:color="auto" w:fill="auto"/>
            <w:vAlign w:val="center"/>
          </w:tcPr>
          <w:p w14:paraId="4DC55FA1">
            <w:pPr>
              <w:shd w:val="clear" w:fill="FFFFFF" w:themeFill="background1"/>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投标文件签署</w:t>
            </w:r>
          </w:p>
        </w:tc>
        <w:tc>
          <w:tcPr>
            <w:tcW w:w="6786" w:type="dxa"/>
            <w:tcBorders>
              <w:top w:val="single" w:color="auto" w:sz="4" w:space="0"/>
              <w:left w:val="single" w:color="auto" w:sz="4" w:space="0"/>
              <w:bottom w:val="single" w:color="auto" w:sz="4" w:space="0"/>
              <w:right w:val="thickThinSmallGap" w:color="auto" w:sz="12" w:space="0"/>
            </w:tcBorders>
            <w:shd w:val="clear" w:color="auto" w:fill="auto"/>
            <w:vAlign w:val="center"/>
          </w:tcPr>
          <w:p w14:paraId="142FB760">
            <w:pPr>
              <w:shd w:val="clear" w:fill="FFFFFF" w:themeFill="background1"/>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符合招标文件规定的格式及内容，有法定代表人或其委托代理人电子签章</w:t>
            </w:r>
            <w:r>
              <w:rPr>
                <w:rFonts w:hint="eastAsia" w:ascii="仿宋" w:hAnsi="仿宋" w:eastAsia="仿宋" w:cs="仿宋"/>
                <w:color w:val="auto"/>
                <w:sz w:val="24"/>
                <w:szCs w:val="24"/>
                <w:highlight w:val="none"/>
                <w:lang w:val="en-US" w:eastAsia="zh-CN"/>
              </w:rPr>
              <w:t>或签字</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p>
        </w:tc>
      </w:tr>
      <w:tr w14:paraId="018C76F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92" w:type="dxa"/>
            <w:vMerge w:val="continue"/>
            <w:tcBorders>
              <w:top w:val="single" w:color="000000" w:sz="4" w:space="0"/>
              <w:left w:val="thinThickSmallGap" w:color="auto" w:sz="12" w:space="0"/>
              <w:bottom w:val="single" w:color="000000" w:sz="4" w:space="0"/>
              <w:right w:val="single" w:color="000000" w:sz="4" w:space="0"/>
            </w:tcBorders>
            <w:shd w:val="clear" w:color="auto" w:fill="auto"/>
            <w:vAlign w:val="center"/>
          </w:tcPr>
          <w:p w14:paraId="7CC2094B">
            <w:pPr>
              <w:shd w:val="clear"/>
              <w:rPr>
                <w:rFonts w:hint="eastAsia" w:ascii="仿宋" w:hAnsi="仿宋" w:eastAsia="仿宋" w:cs="仿宋"/>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414E">
            <w:pPr>
              <w:shd w:val="clear"/>
              <w:rPr>
                <w:rFonts w:hint="eastAsia" w:ascii="仿宋" w:hAnsi="仿宋" w:eastAsia="仿宋" w:cs="仿宋"/>
                <w:color w:val="auto"/>
                <w:sz w:val="24"/>
                <w:szCs w:val="24"/>
                <w:highlight w:val="none"/>
              </w:rPr>
            </w:pPr>
          </w:p>
        </w:tc>
        <w:tc>
          <w:tcPr>
            <w:tcW w:w="1965" w:type="dxa"/>
            <w:tcBorders>
              <w:top w:val="single" w:color="auto" w:sz="4" w:space="0"/>
              <w:left w:val="single" w:color="000000" w:sz="4" w:space="0"/>
              <w:bottom w:val="single" w:color="auto" w:sz="4" w:space="0"/>
              <w:right w:val="single" w:color="auto" w:sz="4" w:space="0"/>
            </w:tcBorders>
            <w:shd w:val="clear" w:color="auto" w:fill="auto"/>
            <w:vAlign w:val="center"/>
          </w:tcPr>
          <w:p w14:paraId="059F83CC">
            <w:pPr>
              <w:shd w:val="clear" w:fill="FFFFFF" w:themeFill="background1"/>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授权书</w:t>
            </w:r>
          </w:p>
        </w:tc>
        <w:tc>
          <w:tcPr>
            <w:tcW w:w="6786" w:type="dxa"/>
            <w:tcBorders>
              <w:top w:val="single" w:color="auto" w:sz="4" w:space="0"/>
              <w:left w:val="single" w:color="auto" w:sz="4" w:space="0"/>
              <w:bottom w:val="single" w:color="auto" w:sz="4" w:space="0"/>
              <w:right w:val="thickThinSmallGap" w:color="auto" w:sz="12" w:space="0"/>
            </w:tcBorders>
            <w:shd w:val="clear" w:color="auto" w:fill="auto"/>
            <w:vAlign w:val="center"/>
          </w:tcPr>
          <w:p w14:paraId="7A5B11F4">
            <w:pPr>
              <w:shd w:val="clear" w:fill="FFFFFF" w:themeFill="background1"/>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委托代理人投标</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授权书。</w:t>
            </w:r>
          </w:p>
        </w:tc>
      </w:tr>
      <w:tr w14:paraId="08F0510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92" w:type="dxa"/>
            <w:vMerge w:val="continue"/>
            <w:tcBorders>
              <w:top w:val="single" w:color="000000" w:sz="4" w:space="0"/>
              <w:left w:val="thinThickSmallGap" w:color="auto" w:sz="12" w:space="0"/>
              <w:bottom w:val="single" w:color="000000" w:sz="4" w:space="0"/>
              <w:right w:val="single" w:color="000000" w:sz="4" w:space="0"/>
            </w:tcBorders>
            <w:shd w:val="clear" w:color="auto" w:fill="auto"/>
            <w:vAlign w:val="center"/>
          </w:tcPr>
          <w:p w14:paraId="6AB9F653">
            <w:pPr>
              <w:shd w:val="clear"/>
              <w:rPr>
                <w:rFonts w:hint="eastAsia" w:ascii="仿宋" w:hAnsi="仿宋" w:eastAsia="仿宋" w:cs="仿宋"/>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5105">
            <w:pPr>
              <w:shd w:val="clear"/>
              <w:rPr>
                <w:rFonts w:hint="eastAsia" w:ascii="仿宋" w:hAnsi="仿宋" w:eastAsia="仿宋" w:cs="仿宋"/>
                <w:color w:val="auto"/>
                <w:sz w:val="24"/>
                <w:szCs w:val="24"/>
                <w:highlight w:val="none"/>
              </w:rPr>
            </w:pPr>
          </w:p>
        </w:tc>
        <w:tc>
          <w:tcPr>
            <w:tcW w:w="1965" w:type="dxa"/>
            <w:tcBorders>
              <w:top w:val="single" w:color="auto" w:sz="4" w:space="0"/>
              <w:left w:val="single" w:color="000000" w:sz="4" w:space="0"/>
              <w:bottom w:val="single" w:color="auto" w:sz="4" w:space="0"/>
              <w:right w:val="single" w:color="auto" w:sz="4" w:space="0"/>
            </w:tcBorders>
            <w:shd w:val="clear" w:color="auto" w:fill="auto"/>
            <w:vAlign w:val="center"/>
          </w:tcPr>
          <w:p w14:paraId="5AFF3DC9">
            <w:pPr>
              <w:shd w:val="clear" w:fill="FFFFFF" w:themeFill="background1"/>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786" w:type="dxa"/>
            <w:tcBorders>
              <w:top w:val="single" w:color="auto" w:sz="4" w:space="0"/>
              <w:left w:val="single" w:color="auto" w:sz="4" w:space="0"/>
              <w:bottom w:val="single" w:color="auto" w:sz="4" w:space="0"/>
              <w:right w:val="thickThinSmallGap" w:color="auto" w:sz="12" w:space="0"/>
            </w:tcBorders>
            <w:shd w:val="clear" w:color="auto" w:fill="auto"/>
            <w:vAlign w:val="center"/>
          </w:tcPr>
          <w:p w14:paraId="7F325161">
            <w:pPr>
              <w:shd w:val="clear" w:fill="FFFFFF" w:themeFill="background1"/>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符合招标文件第二章“投标人须知前附表”第17.1款规定</w:t>
            </w:r>
          </w:p>
        </w:tc>
      </w:tr>
      <w:tr w14:paraId="1ABDE9A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92" w:type="dxa"/>
            <w:vMerge w:val="continue"/>
            <w:tcBorders>
              <w:top w:val="single" w:color="000000" w:sz="4" w:space="0"/>
              <w:left w:val="thinThickSmallGap" w:color="auto" w:sz="12" w:space="0"/>
              <w:bottom w:val="single" w:color="000000" w:sz="4" w:space="0"/>
              <w:right w:val="single" w:color="000000" w:sz="4" w:space="0"/>
            </w:tcBorders>
            <w:shd w:val="clear" w:color="auto" w:fill="auto"/>
            <w:vAlign w:val="center"/>
          </w:tcPr>
          <w:p w14:paraId="3241371C">
            <w:pPr>
              <w:shd w:val="clear"/>
              <w:rPr>
                <w:rFonts w:hint="eastAsia" w:ascii="仿宋" w:hAnsi="仿宋" w:eastAsia="仿宋" w:cs="仿宋"/>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FB4D6">
            <w:pPr>
              <w:shd w:val="clear"/>
              <w:rPr>
                <w:rFonts w:hint="eastAsia" w:ascii="仿宋" w:hAnsi="仿宋" w:eastAsia="仿宋" w:cs="仿宋"/>
                <w:color w:val="auto"/>
                <w:sz w:val="24"/>
                <w:szCs w:val="24"/>
                <w:highlight w:val="none"/>
              </w:rPr>
            </w:pPr>
          </w:p>
        </w:tc>
        <w:tc>
          <w:tcPr>
            <w:tcW w:w="1965" w:type="dxa"/>
            <w:tcBorders>
              <w:top w:val="single" w:color="auto" w:sz="4" w:space="0"/>
              <w:left w:val="single" w:color="000000" w:sz="4" w:space="0"/>
              <w:bottom w:val="single" w:color="auto" w:sz="4" w:space="0"/>
              <w:right w:val="single" w:color="auto" w:sz="4" w:space="0"/>
            </w:tcBorders>
            <w:shd w:val="clear" w:color="auto" w:fill="auto"/>
            <w:vAlign w:val="center"/>
          </w:tcPr>
          <w:p w14:paraId="6F199429">
            <w:pPr>
              <w:shd w:val="clear" w:fill="FFFFFF" w:themeFill="background1"/>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保证金</w:t>
            </w:r>
          </w:p>
        </w:tc>
        <w:tc>
          <w:tcPr>
            <w:tcW w:w="6786" w:type="dxa"/>
            <w:tcBorders>
              <w:top w:val="single" w:color="auto" w:sz="4" w:space="0"/>
              <w:left w:val="single" w:color="auto" w:sz="4" w:space="0"/>
              <w:bottom w:val="single" w:color="auto" w:sz="4" w:space="0"/>
              <w:right w:val="thickThinSmallGap" w:color="auto" w:sz="12" w:space="0"/>
            </w:tcBorders>
            <w:shd w:val="clear" w:color="auto" w:fill="auto"/>
            <w:vAlign w:val="center"/>
          </w:tcPr>
          <w:p w14:paraId="07E06657">
            <w:pPr>
              <w:shd w:val="clear" w:fill="FFFFFF" w:themeFill="background1"/>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符合招标文件第二章“投标人须知前附表”第1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.1款规定</w:t>
            </w:r>
          </w:p>
        </w:tc>
      </w:tr>
      <w:tr w14:paraId="6FFF1AF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1" w:hRule="exact"/>
          <w:jc w:val="center"/>
        </w:trPr>
        <w:tc>
          <w:tcPr>
            <w:tcW w:w="592" w:type="dxa"/>
            <w:vMerge w:val="continue"/>
            <w:tcBorders>
              <w:top w:val="single" w:color="000000" w:sz="4" w:space="0"/>
              <w:left w:val="thinThickSmallGap" w:color="auto" w:sz="12" w:space="0"/>
              <w:bottom w:val="single" w:color="000000" w:sz="4" w:space="0"/>
              <w:right w:val="single" w:color="000000" w:sz="4" w:space="0"/>
            </w:tcBorders>
            <w:shd w:val="clear" w:color="auto" w:fill="auto"/>
            <w:vAlign w:val="center"/>
          </w:tcPr>
          <w:p w14:paraId="6A26C4B8">
            <w:pPr>
              <w:shd w:val="clear"/>
              <w:rPr>
                <w:rFonts w:hint="eastAsia" w:ascii="仿宋" w:hAnsi="仿宋" w:eastAsia="仿宋" w:cs="仿宋"/>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AC202">
            <w:pPr>
              <w:shd w:val="clear"/>
              <w:rPr>
                <w:rFonts w:hint="eastAsia" w:ascii="仿宋" w:hAnsi="仿宋" w:eastAsia="仿宋" w:cs="仿宋"/>
                <w:color w:val="auto"/>
                <w:sz w:val="24"/>
                <w:szCs w:val="24"/>
                <w:highlight w:val="none"/>
              </w:rPr>
            </w:pPr>
          </w:p>
        </w:tc>
        <w:tc>
          <w:tcPr>
            <w:tcW w:w="1965" w:type="dxa"/>
            <w:tcBorders>
              <w:top w:val="single" w:color="auto" w:sz="4" w:space="0"/>
              <w:left w:val="single" w:color="000000" w:sz="4" w:space="0"/>
              <w:bottom w:val="single" w:color="auto" w:sz="4" w:space="0"/>
              <w:right w:val="single" w:color="auto" w:sz="4" w:space="0"/>
            </w:tcBorders>
            <w:shd w:val="clear" w:color="auto" w:fill="auto"/>
            <w:vAlign w:val="center"/>
          </w:tcPr>
          <w:p w14:paraId="7156DAB1">
            <w:pPr>
              <w:shd w:val="clear" w:fill="FFFFFF" w:themeFill="background1"/>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不能接受的条款</w:t>
            </w:r>
          </w:p>
        </w:tc>
        <w:tc>
          <w:tcPr>
            <w:tcW w:w="6786" w:type="dxa"/>
            <w:tcBorders>
              <w:top w:val="single" w:color="auto" w:sz="4" w:space="0"/>
              <w:left w:val="single" w:color="auto" w:sz="4" w:space="0"/>
              <w:bottom w:val="single" w:color="auto" w:sz="4" w:space="0"/>
              <w:right w:val="thickThinSmallGap" w:color="auto" w:sz="12" w:space="0"/>
            </w:tcBorders>
            <w:shd w:val="clear" w:color="auto" w:fill="auto"/>
            <w:vAlign w:val="center"/>
          </w:tcPr>
          <w:p w14:paraId="01439669">
            <w:pPr>
              <w:shd w:val="clear" w:fill="FFFFFF" w:themeFill="background1"/>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投标文件没有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不能接受的条件。</w:t>
            </w:r>
          </w:p>
        </w:tc>
      </w:tr>
      <w:tr w14:paraId="63C61A6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85" w:hRule="exact"/>
          <w:jc w:val="center"/>
        </w:trPr>
        <w:tc>
          <w:tcPr>
            <w:tcW w:w="592" w:type="dxa"/>
            <w:vMerge w:val="continue"/>
            <w:tcBorders>
              <w:top w:val="single" w:color="000000" w:sz="4" w:space="0"/>
              <w:left w:val="thinThickSmallGap" w:color="auto" w:sz="12" w:space="0"/>
              <w:bottom w:val="single" w:color="000000" w:sz="4" w:space="0"/>
              <w:right w:val="single" w:color="000000" w:sz="4" w:space="0"/>
            </w:tcBorders>
            <w:shd w:val="clear" w:color="auto" w:fill="auto"/>
            <w:vAlign w:val="center"/>
          </w:tcPr>
          <w:p w14:paraId="3B4685AB">
            <w:pPr>
              <w:shd w:val="clear"/>
              <w:rPr>
                <w:rFonts w:hint="eastAsia" w:ascii="仿宋" w:hAnsi="仿宋" w:eastAsia="仿宋" w:cs="仿宋"/>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75EC0">
            <w:pPr>
              <w:shd w:val="clear"/>
              <w:rPr>
                <w:rFonts w:hint="eastAsia" w:ascii="仿宋" w:hAnsi="仿宋" w:eastAsia="仿宋" w:cs="仿宋"/>
                <w:color w:val="auto"/>
                <w:sz w:val="24"/>
                <w:szCs w:val="24"/>
                <w:highlight w:val="none"/>
              </w:rPr>
            </w:pPr>
          </w:p>
        </w:tc>
        <w:tc>
          <w:tcPr>
            <w:tcW w:w="1965" w:type="dxa"/>
            <w:tcBorders>
              <w:top w:val="single" w:color="auto" w:sz="4" w:space="0"/>
              <w:left w:val="single" w:color="000000" w:sz="4" w:space="0"/>
              <w:bottom w:val="thickThinSmallGap" w:color="auto" w:sz="12" w:space="0"/>
              <w:right w:val="single" w:color="auto" w:sz="4" w:space="0"/>
            </w:tcBorders>
            <w:shd w:val="clear" w:color="auto" w:fill="auto"/>
            <w:vAlign w:val="center"/>
          </w:tcPr>
          <w:p w14:paraId="3D81D355">
            <w:pPr>
              <w:shd w:val="clear" w:fill="FFFFFF" w:themeFill="background1"/>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其他实质性要求</w:t>
            </w:r>
          </w:p>
        </w:tc>
        <w:tc>
          <w:tcPr>
            <w:tcW w:w="6786" w:type="dxa"/>
            <w:tcBorders>
              <w:top w:val="single" w:color="auto" w:sz="4" w:space="0"/>
              <w:left w:val="single" w:color="auto" w:sz="4" w:space="0"/>
              <w:bottom w:val="thickThinSmallGap" w:color="auto" w:sz="12" w:space="0"/>
              <w:right w:val="thickThinSmallGap" w:color="auto" w:sz="12" w:space="0"/>
            </w:tcBorders>
            <w:shd w:val="clear" w:color="auto" w:fill="auto"/>
            <w:vAlign w:val="center"/>
          </w:tcPr>
          <w:p w14:paraId="7348786E">
            <w:pPr>
              <w:shd w:val="clear" w:fill="FFFFFF" w:themeFill="background1"/>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未出现不符合</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和招标文件中规定的其他实质性要求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第五章采购需求中“</w:t>
            </w:r>
            <w:r>
              <w:rPr>
                <w:rFonts w:hint="eastAsia" w:ascii="仿宋" w:hAnsi="仿宋" w:eastAsia="仿宋" w:cs="仿宋"/>
                <w:b/>
                <w:bCs/>
                <w:color w:val="FF0000"/>
                <w:sz w:val="24"/>
                <w:szCs w:val="24"/>
                <w:highlight w:val="none"/>
                <w:lang w:val="en-US" w:eastAsia="zh-CN"/>
              </w:rPr>
              <w:t>●</w:t>
            </w:r>
            <w:r>
              <w:rPr>
                <w:rFonts w:hint="eastAsia" w:ascii="仿宋" w:hAnsi="仿宋" w:eastAsia="仿宋" w:cs="仿宋"/>
                <w:color w:val="auto"/>
                <w:sz w:val="24"/>
                <w:szCs w:val="24"/>
                <w:highlight w:val="none"/>
                <w:lang w:val="en-US" w:eastAsia="zh-CN"/>
              </w:rPr>
              <w:t>”号条款为本项目实质性条款</w:t>
            </w:r>
            <w:r>
              <w:rPr>
                <w:rFonts w:hint="eastAsia" w:ascii="仿宋" w:hAnsi="仿宋" w:eastAsia="仿宋" w:cs="仿宋"/>
                <w:color w:val="auto"/>
                <w:sz w:val="24"/>
                <w:szCs w:val="24"/>
                <w:highlight w:val="none"/>
                <w:lang w:eastAsia="zh-CN"/>
              </w:rPr>
              <w:t>）。</w:t>
            </w:r>
          </w:p>
        </w:tc>
      </w:tr>
    </w:tbl>
    <w:p w14:paraId="6B6C3E0D">
      <w:pPr>
        <w:rPr>
          <w:rFonts w:hint="eastAsia" w:ascii="仿宋" w:hAnsi="仿宋" w:eastAsia="仿宋" w:cs="仿宋"/>
          <w:lang w:val="en-US" w:eastAsia="zh-CN"/>
        </w:rPr>
      </w:pPr>
    </w:p>
    <w:bookmarkEnd w:id="595"/>
    <w:bookmarkEnd w:id="674"/>
    <w:bookmarkEnd w:id="675"/>
    <w:bookmarkEnd w:id="676"/>
    <w:bookmarkEnd w:id="677"/>
    <w:p w14:paraId="0166DDC7">
      <w:pPr>
        <w:shd w:val="clear"/>
        <w:rPr>
          <w:rFonts w:hint="eastAsia" w:ascii="仿宋" w:hAnsi="仿宋" w:eastAsia="仿宋" w:cs="仿宋"/>
          <w:color w:val="auto"/>
          <w:highlight w:val="none"/>
        </w:rPr>
      </w:pPr>
      <w:bookmarkStart w:id="679" w:name="_Toc4629729"/>
      <w:bookmarkStart w:id="680" w:name="_Toc10305053"/>
      <w:bookmarkStart w:id="681" w:name="_Toc427081174"/>
      <w:bookmarkStart w:id="682" w:name="_Toc2349844"/>
    </w:p>
    <w:tbl>
      <w:tblPr>
        <w:tblStyle w:val="23"/>
        <w:tblW w:w="102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906"/>
        <w:gridCol w:w="1286"/>
        <w:gridCol w:w="8013"/>
      </w:tblGrid>
      <w:tr w14:paraId="2C938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787" w:hRule="atLeast"/>
          <w:jc w:val="center"/>
          <w:hidden/>
        </w:trPr>
        <w:tc>
          <w:tcPr>
            <w:tcW w:w="906" w:type="dxa"/>
            <w:shd w:val="clear" w:color="auto" w:fill="FFFFFF" w:themeFill="background1"/>
            <w:vAlign w:val="center"/>
          </w:tcPr>
          <w:p w14:paraId="51BD6D11">
            <w:pPr>
              <w:shd w:val="clear"/>
              <w:rPr>
                <w:rFonts w:hint="eastAsia" w:ascii="仿宋" w:hAnsi="仿宋" w:eastAsia="仿宋" w:cs="仿宋"/>
                <w:b/>
                <w:color w:val="auto"/>
                <w:sz w:val="24"/>
                <w:szCs w:val="24"/>
                <w:highlight w:val="none"/>
              </w:rPr>
            </w:pPr>
            <w:r>
              <w:rPr>
                <w:rFonts w:hint="eastAsia" w:ascii="仿宋" w:hAnsi="仿宋" w:eastAsia="仿宋" w:cs="仿宋"/>
                <w:vanish/>
                <w:color w:val="auto"/>
                <w:highlight w:val="none"/>
              </w:rPr>
              <w:br w:type="page"/>
            </w:r>
            <w:r>
              <w:rPr>
                <w:rFonts w:hint="eastAsia" w:ascii="仿宋" w:hAnsi="仿宋" w:eastAsia="仿宋" w:cs="仿宋"/>
                <w:b/>
                <w:color w:val="auto"/>
                <w:sz w:val="24"/>
                <w:szCs w:val="24"/>
                <w:highlight w:val="none"/>
              </w:rPr>
              <w:t>条款号</w:t>
            </w:r>
          </w:p>
        </w:tc>
        <w:tc>
          <w:tcPr>
            <w:tcW w:w="1286" w:type="dxa"/>
            <w:shd w:val="clear" w:color="auto" w:fill="FFFFFF" w:themeFill="background1"/>
            <w:vAlign w:val="center"/>
          </w:tcPr>
          <w:p w14:paraId="07EFDB91">
            <w:pPr>
              <w:keepNext w:val="0"/>
              <w:keepLines w:val="0"/>
              <w:pageBreakBefore w:val="0"/>
              <w:widowControl w:val="0"/>
              <w:shd w:val="clear" w:fill="FFFFFF" w:themeFill="background1"/>
              <w:kinsoku/>
              <w:wordWrap/>
              <w:overflowPunct/>
              <w:topLinePunct w:val="0"/>
              <w:bidi w:val="0"/>
              <w:snapToGrid/>
              <w:spacing w:beforeAutospacing="1" w:afterAutospacing="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tc>
        <w:tc>
          <w:tcPr>
            <w:tcW w:w="8013" w:type="dxa"/>
            <w:shd w:val="clear" w:color="auto" w:fill="FFFFFF" w:themeFill="background1"/>
            <w:vAlign w:val="center"/>
          </w:tcPr>
          <w:p w14:paraId="57FE4293">
            <w:pPr>
              <w:keepNext w:val="0"/>
              <w:keepLines w:val="0"/>
              <w:pageBreakBefore w:val="0"/>
              <w:widowControl w:val="0"/>
              <w:shd w:val="clear" w:fill="FFFFFF" w:themeFill="background1"/>
              <w:kinsoku/>
              <w:wordWrap/>
              <w:overflowPunct/>
              <w:topLinePunct w:val="0"/>
              <w:bidi w:val="0"/>
              <w:snapToGrid/>
              <w:spacing w:beforeAutospacing="1" w:afterAutospacing="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r>
      <w:tr w14:paraId="618C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292" w:hRule="atLeast"/>
          <w:jc w:val="center"/>
        </w:trPr>
        <w:tc>
          <w:tcPr>
            <w:tcW w:w="906" w:type="dxa"/>
            <w:tcBorders>
              <w:right w:val="single" w:color="auto" w:sz="4" w:space="0"/>
            </w:tcBorders>
            <w:shd w:val="clear" w:color="auto" w:fill="FFFFFF" w:themeFill="background1"/>
            <w:vAlign w:val="center"/>
          </w:tcPr>
          <w:p w14:paraId="1B72AE46">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86" w:type="dxa"/>
            <w:tcBorders>
              <w:left w:val="single" w:color="auto" w:sz="4" w:space="0"/>
              <w:bottom w:val="single" w:color="auto" w:sz="4" w:space="0"/>
            </w:tcBorders>
            <w:shd w:val="clear" w:color="auto" w:fill="FFFFFF" w:themeFill="background1"/>
            <w:vAlign w:val="center"/>
          </w:tcPr>
          <w:p w14:paraId="2220F387">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评分因素权重</w:t>
            </w:r>
          </w:p>
        </w:tc>
        <w:tc>
          <w:tcPr>
            <w:tcW w:w="8013" w:type="dxa"/>
            <w:shd w:val="clear" w:color="auto" w:fill="FFFFFF" w:themeFill="background1"/>
            <w:vAlign w:val="center"/>
          </w:tcPr>
          <w:p w14:paraId="3C7DAAD6">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价格部分F1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分，权重A1为1。</w:t>
            </w:r>
          </w:p>
          <w:p w14:paraId="4DC89419">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技术部分F2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分，权重A2为1。</w:t>
            </w:r>
          </w:p>
          <w:p w14:paraId="68985413">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商务部分F3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分，权重A3为1。</w:t>
            </w:r>
          </w:p>
        </w:tc>
      </w:tr>
      <w:tr w14:paraId="4DB8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9" w:hRule="atLeast"/>
          <w:jc w:val="center"/>
        </w:trPr>
        <w:tc>
          <w:tcPr>
            <w:tcW w:w="906" w:type="dxa"/>
            <w:tcBorders>
              <w:right w:val="single" w:color="auto" w:sz="4" w:space="0"/>
            </w:tcBorders>
            <w:shd w:val="clear" w:color="auto" w:fill="FFFFFF" w:themeFill="background1"/>
            <w:vAlign w:val="center"/>
          </w:tcPr>
          <w:p w14:paraId="237AC4A3">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1286" w:type="dxa"/>
            <w:tcBorders>
              <w:top w:val="single" w:color="auto" w:sz="4" w:space="0"/>
              <w:left w:val="single" w:color="auto" w:sz="4" w:space="0"/>
            </w:tcBorders>
            <w:shd w:val="clear" w:color="auto" w:fill="FFFFFF" w:themeFill="background1"/>
            <w:vAlign w:val="center"/>
          </w:tcPr>
          <w:p w14:paraId="67AFECA6">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评标总得分计算公式</w:t>
            </w:r>
          </w:p>
        </w:tc>
        <w:tc>
          <w:tcPr>
            <w:tcW w:w="8013" w:type="dxa"/>
            <w:shd w:val="clear" w:color="auto" w:fill="FFFFFF" w:themeFill="background1"/>
            <w:vAlign w:val="center"/>
          </w:tcPr>
          <w:p w14:paraId="0D8ACDC7">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投标人的评标总得分＝F1×A1＋F2×A2＋F3×A3</w:t>
            </w:r>
          </w:p>
          <w:p w14:paraId="248F1858">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其中：①F1、F2、F3分别为投标报价、技术部分、商务部分3项评分因素的汇总得分；</w:t>
            </w:r>
          </w:p>
          <w:p w14:paraId="743A5905">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②A1、A2、A3分别为3项评分因素所占的权重；</w:t>
            </w:r>
          </w:p>
        </w:tc>
      </w:tr>
      <w:tr w14:paraId="2806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628" w:hRule="atLeast"/>
          <w:jc w:val="center"/>
        </w:trPr>
        <w:tc>
          <w:tcPr>
            <w:tcW w:w="906" w:type="dxa"/>
            <w:tcBorders>
              <w:right w:val="single" w:color="auto" w:sz="4" w:space="0"/>
            </w:tcBorders>
            <w:shd w:val="clear" w:color="auto" w:fill="FFFFFF" w:themeFill="background1"/>
            <w:vAlign w:val="center"/>
          </w:tcPr>
          <w:p w14:paraId="0D8D7A3F">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p w14:paraId="563B6C0F">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价格部分F1</w:t>
            </w:r>
          </w:p>
        </w:tc>
        <w:tc>
          <w:tcPr>
            <w:tcW w:w="1286" w:type="dxa"/>
            <w:tcBorders>
              <w:left w:val="single" w:color="auto" w:sz="4" w:space="0"/>
            </w:tcBorders>
            <w:shd w:val="clear" w:color="auto" w:fill="FFFFFF" w:themeFill="background1"/>
            <w:vAlign w:val="center"/>
          </w:tcPr>
          <w:p w14:paraId="319019E7">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投标总报价</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评审评分</w:t>
            </w:r>
            <w:r>
              <w:rPr>
                <w:rFonts w:hint="eastAsia" w:ascii="仿宋" w:hAnsi="仿宋" w:eastAsia="仿宋" w:cs="仿宋"/>
                <w:color w:val="000000" w:themeColor="text1"/>
                <w:sz w:val="24"/>
                <w:highlight w:val="none"/>
                <w14:textFill>
                  <w14:solidFill>
                    <w14:schemeClr w14:val="tx1"/>
                  </w14:solidFill>
                </w14:textFill>
              </w:rPr>
              <w:t>（满分</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w:t>
            </w:r>
          </w:p>
        </w:tc>
        <w:tc>
          <w:tcPr>
            <w:tcW w:w="8013" w:type="dxa"/>
            <w:shd w:val="clear" w:color="auto" w:fill="FFFFFF" w:themeFill="background1"/>
            <w:vAlign w:val="center"/>
          </w:tcPr>
          <w:p w14:paraId="1A5CAF8E">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1.评标基准价：满足招标文件要求且投标报价最低的有效投标报价；</w:t>
            </w:r>
          </w:p>
          <w:p w14:paraId="771F9ED0">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2.得分计算：满足招标文件要求且投标报价最低</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即1-下浮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的有效投标报价，其报价分为满分。其他投标人的报价得分统一按照下列公式计算：</w:t>
            </w:r>
          </w:p>
          <w:p w14:paraId="3EFCCA30">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即：F1=[C/（B1，B2，…，Bn）]×</w:t>
            </w:r>
            <w:r>
              <w:rPr>
                <w:rFonts w:hint="eastAsia" w:ascii="仿宋" w:hAnsi="仿宋" w:eastAsia="仿宋" w:cs="仿宋"/>
                <w:color w:val="000000" w:themeColor="text1"/>
                <w:sz w:val="24"/>
                <w:highlight w:val="none"/>
                <w:lang w:val="en-US" w:eastAsia="zh-CN"/>
                <w14:textFill>
                  <w14:solidFill>
                    <w14:schemeClr w14:val="tx1"/>
                  </w14:solidFill>
                </w14:textFill>
              </w:rPr>
              <w:t>30</w:t>
            </w:r>
          </w:p>
          <w:p w14:paraId="40BF278D">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注：C为评标基准价，即满足招标文件要求且投标报价最低的有效投标报价；</w:t>
            </w:r>
          </w:p>
          <w:p w14:paraId="0AA0146E">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B1，B2，…，Bn为第n个满足招标文件要求的有效投标报价。</w:t>
            </w:r>
          </w:p>
          <w:p w14:paraId="4096D793">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注：本项目针对小型和微型企业产品或残疾人福利性单位产品的价格给予</w:t>
            </w:r>
            <w:r>
              <w:rPr>
                <w:rFonts w:hint="eastAsia" w:ascii="仿宋" w:hAnsi="仿宋" w:eastAsia="仿宋" w:cs="仿宋"/>
                <w:color w:val="auto"/>
                <w:sz w:val="24"/>
                <w:highlight w:val="none"/>
                <w:lang w:eastAsia="zh-CN"/>
              </w:rPr>
              <w:t>10%</w:t>
            </w:r>
            <w:r>
              <w:rPr>
                <w:rFonts w:hint="eastAsia" w:ascii="仿宋" w:hAnsi="仿宋" w:eastAsia="仿宋" w:cs="仿宋"/>
                <w:color w:val="auto"/>
                <w:sz w:val="24"/>
                <w:highlight w:val="none"/>
              </w:rPr>
              <w:t>的扣除，用扣除后的价格参与评审，残疾人福利性单位属于小型、微型企业的，不重复享受政策。（监狱企业视同小型或微型企业）。</w:t>
            </w:r>
          </w:p>
        </w:tc>
      </w:tr>
      <w:tr w14:paraId="29313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906" w:type="dxa"/>
            <w:vMerge w:val="restart"/>
            <w:shd w:val="clear" w:color="auto" w:fill="FFFFFF" w:themeFill="background1"/>
            <w:vAlign w:val="center"/>
          </w:tcPr>
          <w:p w14:paraId="65D55254">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p w14:paraId="7E1F9F48">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技术部分F2</w:t>
            </w:r>
          </w:p>
        </w:tc>
        <w:tc>
          <w:tcPr>
            <w:tcW w:w="1286" w:type="dxa"/>
            <w:tcBorders>
              <w:bottom w:val="single" w:color="auto" w:sz="4" w:space="0"/>
            </w:tcBorders>
            <w:shd w:val="clear" w:color="auto" w:fill="FFFFFF" w:themeFill="background1"/>
            <w:vAlign w:val="center"/>
          </w:tcPr>
          <w:p w14:paraId="30EE6335">
            <w:pPr>
              <w:pStyle w:val="33"/>
              <w:shd w:val="clear" w:fill="FFFFFF" w:themeFill="background1"/>
              <w:spacing w:line="360" w:lineRule="auto"/>
              <w:jc w:val="center"/>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w:t>
            </w:r>
            <w:r>
              <w:rPr>
                <w:rFonts w:hint="eastAsia" w:ascii="仿宋" w:hAnsi="仿宋" w:eastAsia="仿宋" w:cs="仿宋"/>
              </w:rPr>
              <w:t>药材来源保障</w:t>
            </w:r>
            <w:r>
              <w:rPr>
                <w:rFonts w:hint="eastAsia" w:ascii="仿宋" w:hAnsi="仿宋" w:eastAsia="仿宋" w:cs="仿宋"/>
                <w:lang w:val="en-US" w:eastAsia="zh-CN"/>
              </w:rPr>
              <w:t>方案（12分）</w:t>
            </w:r>
          </w:p>
        </w:tc>
        <w:tc>
          <w:tcPr>
            <w:tcW w:w="8013" w:type="dxa"/>
            <w:tcBorders>
              <w:bottom w:val="single" w:color="auto" w:sz="4" w:space="0"/>
            </w:tcBorders>
            <w:shd w:val="clear" w:color="auto" w:fill="FFFFFF" w:themeFill="background1"/>
            <w:vAlign w:val="center"/>
          </w:tcPr>
          <w:p w14:paraId="7333EEDE">
            <w:pPr>
              <w:pStyle w:val="3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val="0"/>
              <w:snapToGrid/>
              <w:spacing w:line="360" w:lineRule="auto"/>
              <w:textAlignment w:val="auto"/>
              <w:rPr>
                <w:rFonts w:hint="eastAsia" w:ascii="仿宋" w:hAnsi="仿宋" w:eastAsia="仿宋" w:cs="仿宋"/>
                <w:lang w:val="en-US" w:eastAsia="zh-CN"/>
              </w:rPr>
            </w:pPr>
            <w:r>
              <w:rPr>
                <w:rFonts w:hint="eastAsia" w:ascii="仿宋" w:hAnsi="仿宋" w:eastAsia="仿宋" w:cs="仿宋"/>
                <w:b w:val="0"/>
                <w:bCs w:val="0"/>
                <w:color w:val="auto"/>
                <w:szCs w:val="24"/>
                <w:highlight w:val="none"/>
              </w:rPr>
              <w:t>根据投标人针对本项目提供的</w:t>
            </w:r>
            <w:r>
              <w:rPr>
                <w:rFonts w:hint="eastAsia" w:ascii="仿宋" w:hAnsi="仿宋" w:eastAsia="仿宋" w:cs="仿宋"/>
              </w:rPr>
              <w:t>药材来源保障</w:t>
            </w:r>
            <w:r>
              <w:rPr>
                <w:rFonts w:hint="eastAsia" w:ascii="仿宋" w:hAnsi="仿宋" w:eastAsia="仿宋" w:cs="仿宋"/>
                <w:lang w:val="en-US" w:eastAsia="zh-CN"/>
              </w:rPr>
              <w:t>方案（</w:t>
            </w:r>
            <w:r>
              <w:rPr>
                <w:rFonts w:hint="eastAsia" w:ascii="仿宋" w:hAnsi="仿宋" w:eastAsia="仿宋" w:cs="仿宋"/>
              </w:rPr>
              <w:t>①列明所投产品的产地②采购流程③生产工艺</w:t>
            </w:r>
            <w:r>
              <w:rPr>
                <w:rFonts w:hint="eastAsia" w:ascii="仿宋" w:hAnsi="仿宋" w:eastAsia="仿宋" w:cs="仿宋"/>
                <w:lang w:eastAsia="zh-CN"/>
              </w:rPr>
              <w:t>）</w:t>
            </w:r>
            <w:r>
              <w:rPr>
                <w:rFonts w:hint="eastAsia" w:ascii="仿宋" w:hAnsi="仿宋" w:eastAsia="仿宋" w:cs="仿宋"/>
                <w:lang w:val="en-US" w:eastAsia="zh-CN"/>
              </w:rPr>
              <w:t>进行评分：</w:t>
            </w:r>
          </w:p>
          <w:p w14:paraId="43883F4B">
            <w:pPr>
              <w:pStyle w:val="3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val="0"/>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以上3项方案内容，</w:t>
            </w:r>
            <w:r>
              <w:rPr>
                <w:rFonts w:hint="eastAsia" w:ascii="仿宋" w:hAnsi="仿宋" w:eastAsia="仿宋" w:cs="仿宋"/>
              </w:rPr>
              <w:t>①</w:t>
            </w:r>
            <w:r>
              <w:rPr>
                <w:rFonts w:hint="eastAsia" w:ascii="仿宋" w:hAnsi="仿宋" w:eastAsia="仿宋" w:cs="仿宋"/>
                <w:b/>
                <w:bCs/>
              </w:rPr>
              <w:t>列明所投</w:t>
            </w:r>
            <w:r>
              <w:rPr>
                <w:rFonts w:hint="eastAsia" w:ascii="仿宋" w:hAnsi="仿宋" w:eastAsia="仿宋" w:cs="仿宋"/>
                <w:b/>
                <w:bCs/>
                <w:lang w:val="en-US" w:eastAsia="zh-CN"/>
              </w:rPr>
              <w:t>饮片</w:t>
            </w:r>
            <w:r>
              <w:rPr>
                <w:rFonts w:hint="eastAsia" w:ascii="仿宋" w:hAnsi="仿宋" w:eastAsia="仿宋" w:cs="仿宋"/>
                <w:b/>
                <w:bCs/>
              </w:rPr>
              <w:t>的产地</w:t>
            </w:r>
            <w:r>
              <w:rPr>
                <w:rFonts w:hint="eastAsia" w:ascii="仿宋" w:hAnsi="仿宋" w:eastAsia="仿宋" w:cs="仿宋"/>
                <w:b/>
                <w:bCs/>
                <w:lang w:eastAsia="zh-CN"/>
              </w:rPr>
              <w:t>：</w:t>
            </w:r>
            <w:r>
              <w:rPr>
                <w:rFonts w:hint="eastAsia" w:ascii="仿宋" w:hAnsi="仿宋" w:eastAsia="仿宋" w:cs="仿宋"/>
                <w:lang w:val="en-US" w:eastAsia="zh-CN"/>
              </w:rPr>
              <w:t>原药材货物来源稳定，条理清楚，内容全面，在列明产地时，涵盖了所有相关的信息，包括具体的生产地点、所属地区等细节都有详细列出，对产品的供应稳定性、源头把控、成品检测有清晰全面的描述；</w:t>
            </w:r>
            <w:r>
              <w:rPr>
                <w:rFonts w:hint="eastAsia" w:ascii="仿宋" w:hAnsi="仿宋" w:eastAsia="仿宋" w:cs="仿宋"/>
                <w:b/>
                <w:bCs/>
              </w:rPr>
              <w:t>②采购流程</w:t>
            </w:r>
            <w:r>
              <w:rPr>
                <w:rFonts w:hint="eastAsia" w:ascii="仿宋" w:hAnsi="仿宋" w:eastAsia="仿宋" w:cs="仿宋"/>
                <w:b/>
                <w:bCs/>
                <w:lang w:eastAsia="zh-CN"/>
              </w:rPr>
              <w:t>：</w:t>
            </w:r>
            <w:r>
              <w:rPr>
                <w:rFonts w:hint="eastAsia" w:ascii="仿宋" w:hAnsi="仿宋" w:eastAsia="仿宋" w:cs="仿宋"/>
                <w:lang w:val="en-US" w:eastAsia="zh-CN"/>
              </w:rPr>
              <w:t>药材采购流程严谨，在各个环节都遵循严格的标准和规范，从投标人筛选、药材质量检验到合同签订等，都有严谨的操作流程和审核机制，确保采购的药材质量可靠、来源合法；采购流程严格对药材质量的高标准要求，通过严格的质量检验、验收等环节，确保采购的药材符合质量标准，如对药材的外观、性状、含量等指标进行严格检测；</w:t>
            </w:r>
            <w:r>
              <w:rPr>
                <w:rFonts w:hint="eastAsia" w:ascii="仿宋" w:hAnsi="仿宋" w:eastAsia="仿宋" w:cs="仿宋"/>
                <w:b/>
                <w:bCs/>
              </w:rPr>
              <w:t>③生产工艺</w:t>
            </w:r>
            <w:r>
              <w:rPr>
                <w:rFonts w:hint="eastAsia" w:ascii="仿宋" w:hAnsi="仿宋" w:eastAsia="仿宋" w:cs="仿宋"/>
                <w:b/>
                <w:bCs/>
                <w:lang w:eastAsia="zh-CN"/>
              </w:rPr>
              <w:t>：</w:t>
            </w:r>
            <w:r>
              <w:rPr>
                <w:rFonts w:hint="eastAsia" w:ascii="仿宋" w:hAnsi="仿宋" w:eastAsia="仿宋" w:cs="仿宋"/>
              </w:rPr>
              <w:t>所</w:t>
            </w:r>
            <w:r>
              <w:rPr>
                <w:rFonts w:hint="eastAsia" w:ascii="仿宋" w:hAnsi="仿宋" w:eastAsia="仿宋" w:cs="仿宋"/>
                <w:lang w:val="en-US" w:eastAsia="zh-CN"/>
              </w:rPr>
              <w:t>投饮片</w:t>
            </w:r>
            <w:r>
              <w:rPr>
                <w:rFonts w:hint="eastAsia" w:ascii="仿宋" w:hAnsi="仿宋" w:eastAsia="仿宋" w:cs="仿宋"/>
              </w:rPr>
              <w:t>的加工工艺基本流程：①至少包括加工、提取、浓缩等基本工艺流程②提出符合本项目生产工艺技术</w:t>
            </w:r>
            <w:r>
              <w:rPr>
                <w:rFonts w:hint="eastAsia" w:ascii="仿宋" w:hAnsi="仿宋" w:eastAsia="仿宋" w:cs="仿宋"/>
                <w:lang w:eastAsia="zh-CN"/>
              </w:rPr>
              <w:t>，高效便捷操作方便、快捷，智能先进具有自动化、信息化等特点；</w:t>
            </w:r>
          </w:p>
          <w:p w14:paraId="430F1731">
            <w:pPr>
              <w:pStyle w:val="10"/>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以上方案3项内容中</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每存在1项</w:t>
            </w:r>
            <w:r>
              <w:rPr>
                <w:rFonts w:hint="eastAsia" w:ascii="仿宋" w:hAnsi="仿宋" w:eastAsia="仿宋" w:cs="仿宋"/>
                <w:b/>
                <w:bCs w:val="0"/>
                <w:color w:val="auto"/>
                <w:kern w:val="2"/>
                <w:sz w:val="24"/>
                <w:szCs w:val="24"/>
                <w:highlight w:val="none"/>
                <w:lang w:val="en-US" w:eastAsia="zh-CN"/>
              </w:rPr>
              <w:t>缺项</w:t>
            </w:r>
            <w:r>
              <w:rPr>
                <w:rFonts w:hint="eastAsia" w:ascii="仿宋" w:hAnsi="仿宋" w:eastAsia="仿宋" w:cs="仿宋"/>
                <w:b/>
                <w:bCs w:val="0"/>
                <w:color w:val="auto"/>
                <w:kern w:val="2"/>
                <w:sz w:val="24"/>
                <w:szCs w:val="24"/>
                <w:highlight w:val="none"/>
              </w:rPr>
              <w:t>漏项</w:t>
            </w:r>
            <w:r>
              <w:rPr>
                <w:rFonts w:hint="eastAsia" w:ascii="仿宋" w:hAnsi="仿宋" w:eastAsia="仿宋" w:cs="仿宋"/>
                <w:color w:val="auto"/>
                <w:kern w:val="2"/>
                <w:sz w:val="24"/>
                <w:szCs w:val="24"/>
                <w:highlight w:val="none"/>
              </w:rPr>
              <w:t>的扣</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分，每存在</w:t>
            </w:r>
            <w:r>
              <w:rPr>
                <w:rFonts w:hint="eastAsia" w:ascii="仿宋" w:hAnsi="仿宋" w:eastAsia="仿宋" w:cs="仿宋"/>
                <w:color w:val="auto"/>
                <w:kern w:val="2"/>
                <w:sz w:val="24"/>
                <w:szCs w:val="24"/>
                <w:highlight w:val="none"/>
                <w:lang w:val="en-US" w:eastAsia="zh-CN"/>
              </w:rPr>
              <w:t>1处</w:t>
            </w:r>
            <w:r>
              <w:rPr>
                <w:rFonts w:hint="eastAsia" w:ascii="仿宋" w:hAnsi="仿宋" w:eastAsia="仿宋" w:cs="仿宋"/>
                <w:color w:val="auto"/>
                <w:sz w:val="24"/>
                <w:szCs w:val="24"/>
                <w:highlight w:val="none"/>
              </w:rPr>
              <w:t>内容</w:t>
            </w:r>
            <w:r>
              <w:rPr>
                <w:rFonts w:hint="eastAsia" w:ascii="仿宋" w:hAnsi="仿宋" w:eastAsia="仿宋" w:cs="仿宋"/>
                <w:b/>
                <w:bCs w:val="0"/>
                <w:color w:val="auto"/>
                <w:sz w:val="24"/>
                <w:szCs w:val="24"/>
                <w:highlight w:val="none"/>
                <w:lang w:val="en-US" w:eastAsia="zh-CN"/>
              </w:rPr>
              <w:t>描述</w:t>
            </w:r>
            <w:r>
              <w:rPr>
                <w:rFonts w:hint="eastAsia" w:ascii="仿宋" w:hAnsi="仿宋" w:eastAsia="仿宋" w:cs="仿宋"/>
                <w:b/>
                <w:bCs w:val="0"/>
                <w:color w:val="auto"/>
                <w:sz w:val="24"/>
                <w:szCs w:val="24"/>
                <w:highlight w:val="none"/>
              </w:rPr>
              <w:t>不完整或有缺陷或与项目不匹配</w:t>
            </w:r>
            <w:r>
              <w:rPr>
                <w:rFonts w:hint="eastAsia" w:ascii="仿宋" w:hAnsi="仿宋" w:eastAsia="仿宋" w:cs="仿宋"/>
                <w:color w:val="auto"/>
                <w:kern w:val="2"/>
                <w:sz w:val="24"/>
                <w:szCs w:val="24"/>
                <w:highlight w:val="none"/>
              </w:rPr>
              <w:t>扣</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val="en-US" w:eastAsia="zh-CN"/>
              </w:rPr>
              <w:t>每项内容最多扣4分，12</w:t>
            </w:r>
            <w:r>
              <w:rPr>
                <w:rFonts w:hint="eastAsia" w:ascii="仿宋" w:hAnsi="仿宋" w:eastAsia="仿宋" w:cs="仿宋"/>
                <w:color w:val="auto"/>
                <w:kern w:val="2"/>
                <w:sz w:val="24"/>
                <w:szCs w:val="24"/>
                <w:highlight w:val="none"/>
              </w:rPr>
              <w:t>分扣完为止。</w:t>
            </w:r>
          </w:p>
          <w:p w14:paraId="7961B7F1">
            <w:pPr>
              <w:pStyle w:val="3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val="0"/>
              <w:snapToGrid/>
              <w:spacing w:line="360" w:lineRule="auto"/>
              <w:textAlignment w:val="auto"/>
              <w:rPr>
                <w:rFonts w:hint="eastAsia" w:ascii="仿宋" w:hAnsi="仿宋" w:eastAsia="仿宋" w:cs="仿宋"/>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描述</w:t>
            </w:r>
            <w:r>
              <w:rPr>
                <w:rFonts w:hint="eastAsia" w:ascii="仿宋" w:hAnsi="仿宋" w:eastAsia="仿宋" w:cs="仿宋"/>
                <w:color w:val="auto"/>
                <w:sz w:val="24"/>
                <w:szCs w:val="24"/>
                <w:highlight w:val="none"/>
              </w:rPr>
              <w:t>不完整或有缺陷或与项目不匹配是指非专门针对本项目或不适</w:t>
            </w:r>
            <w:r>
              <w:rPr>
                <w:rFonts w:hint="eastAsia" w:ascii="仿宋" w:hAnsi="仿宋" w:eastAsia="仿宋" w:cs="仿宋"/>
                <w:color w:val="auto"/>
                <w:sz w:val="24"/>
                <w:szCs w:val="24"/>
                <w:highlight w:val="none"/>
                <w:lang w:eastAsia="zh-CN"/>
              </w:rPr>
              <w:t>用的</w:t>
            </w:r>
            <w:r>
              <w:rPr>
                <w:rFonts w:hint="eastAsia" w:ascii="仿宋" w:hAnsi="仿宋" w:eastAsia="仿宋" w:cs="仿宋"/>
                <w:color w:val="auto"/>
                <w:sz w:val="24"/>
                <w:szCs w:val="24"/>
                <w:highlight w:val="none"/>
              </w:rPr>
              <w:t>项目特性的情形、内容不明确、表述不清晰或不完善</w:t>
            </w:r>
            <w:r>
              <w:rPr>
                <w:rFonts w:hint="eastAsia" w:ascii="仿宋" w:hAnsi="仿宋" w:eastAsia="仿宋" w:cs="仿宋"/>
                <w:color w:val="auto"/>
                <w:sz w:val="24"/>
                <w:szCs w:val="24"/>
                <w:highlight w:val="none"/>
                <w:lang w:val="en-US" w:eastAsia="zh-CN"/>
              </w:rPr>
              <w:t>或过于简陋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缺少关键节点</w:t>
            </w:r>
            <w:r>
              <w:rPr>
                <w:rFonts w:hint="eastAsia" w:ascii="仿宋" w:hAnsi="仿宋" w:eastAsia="仿宋" w:cs="仿宋"/>
                <w:color w:val="auto"/>
                <w:sz w:val="24"/>
                <w:szCs w:val="24"/>
                <w:highlight w:val="none"/>
                <w:lang w:val="en-US" w:eastAsia="zh-CN"/>
              </w:rPr>
              <w:t>说明或说明不详细</w:t>
            </w:r>
            <w:r>
              <w:rPr>
                <w:rFonts w:hint="eastAsia" w:ascii="仿宋" w:hAnsi="仿宋" w:eastAsia="仿宋" w:cs="仿宋"/>
                <w:color w:val="auto"/>
                <w:sz w:val="24"/>
                <w:szCs w:val="24"/>
                <w:highlight w:val="none"/>
              </w:rPr>
              <w:t>、套用其他项目方案、内容前后矛盾、涉及的规范及标准错误、不利于项目实施、不可能实现的情形等任意一种情形。</w:t>
            </w:r>
          </w:p>
        </w:tc>
      </w:tr>
      <w:tr w14:paraId="1B30E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46" w:hRule="atLeast"/>
          <w:jc w:val="center"/>
        </w:trPr>
        <w:tc>
          <w:tcPr>
            <w:tcW w:w="906" w:type="dxa"/>
            <w:vMerge w:val="continue"/>
            <w:shd w:val="clear" w:color="auto" w:fill="FFFFFF" w:themeFill="background1"/>
            <w:vAlign w:val="center"/>
          </w:tcPr>
          <w:p w14:paraId="4D0008AD">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highlight w:val="none"/>
              </w:rPr>
            </w:pPr>
          </w:p>
        </w:tc>
        <w:tc>
          <w:tcPr>
            <w:tcW w:w="1286" w:type="dxa"/>
            <w:tcBorders>
              <w:bottom w:val="single" w:color="auto" w:sz="4" w:space="0"/>
            </w:tcBorders>
            <w:shd w:val="clear" w:color="auto" w:fill="FFFFFF" w:themeFill="background1"/>
            <w:vAlign w:val="center"/>
          </w:tcPr>
          <w:p w14:paraId="7A84A5B8">
            <w:pPr>
              <w:pStyle w:val="33"/>
              <w:shd w:val="clear" w:fill="FFFFFF" w:themeFill="background1"/>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2.项目实施方案评审评分</w:t>
            </w:r>
          </w:p>
          <w:p w14:paraId="62839F56">
            <w:pPr>
              <w:pStyle w:val="33"/>
              <w:shd w:val="clear" w:fill="FFFFFF" w:themeFill="background1"/>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（24分）</w:t>
            </w:r>
          </w:p>
        </w:tc>
        <w:tc>
          <w:tcPr>
            <w:tcW w:w="8013" w:type="dxa"/>
            <w:tcBorders>
              <w:bottom w:val="single" w:color="auto" w:sz="4" w:space="0"/>
            </w:tcBorders>
            <w:shd w:val="clear" w:color="auto" w:fill="FFFFFF" w:themeFill="background1"/>
            <w:vAlign w:val="center"/>
          </w:tcPr>
          <w:p w14:paraId="74B2CB0D">
            <w:pPr>
              <w:pStyle w:val="8"/>
              <w:keepNext w:val="0"/>
              <w:keepLines w:val="0"/>
              <w:pageBreakBefore w:val="0"/>
              <w:widowControl w:val="0"/>
              <w:shd w:val="clear" w:fill="FFFFFF" w:themeFill="background1"/>
              <w:kinsoku/>
              <w:wordWrap/>
              <w:overflowPunct/>
              <w:topLinePunct w:val="0"/>
              <w:autoSpaceDE/>
              <w:autoSpaceDN/>
              <w:bidi w:val="0"/>
              <w:adjustRightInd/>
              <w:spacing w:before="0" w:line="440" w:lineRule="exact"/>
              <w:textAlignment w:val="auto"/>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根据投标人针对本项目提供的项目实施方案（</w:t>
            </w: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highlight w:val="none"/>
                <w:lang w:val="en-US" w:eastAsia="zh-CN"/>
              </w:rPr>
              <w:t>项目特点分析</w:t>
            </w: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color w:val="auto"/>
                <w:highlight w:val="none"/>
                <w:lang w:val="en-US" w:eastAsia="zh-CN"/>
              </w:rPr>
              <w:t>配送、交货方案及流程计划</w:t>
            </w:r>
            <w:r>
              <w:rPr>
                <w:rFonts w:hint="eastAsia" w:ascii="仿宋" w:hAnsi="仿宋" w:eastAsia="仿宋" w:cs="仿宋"/>
                <w:b w:val="0"/>
                <w:bCs w:val="0"/>
                <w:color w:val="auto"/>
                <w:sz w:val="24"/>
                <w:szCs w:val="24"/>
                <w:highlight w:val="none"/>
                <w:lang w:val="en-US" w:eastAsia="zh-CN"/>
              </w:rPr>
              <w:t>、③配送应急预案、</w:t>
            </w:r>
            <w:r>
              <w:rPr>
                <w:rFonts w:hint="eastAsia" w:ascii="仿宋" w:hAnsi="仿宋" w:eastAsia="仿宋" w:cs="仿宋"/>
                <w:color w:val="auto"/>
                <w:kern w:val="2"/>
                <w:sz w:val="24"/>
                <w:szCs w:val="22"/>
                <w:highlight w:val="none"/>
                <w:lang w:val="en-US" w:eastAsia="zh-CN" w:bidi="ar-SA"/>
              </w:rPr>
              <w:t>④配送</w:t>
            </w:r>
            <w:r>
              <w:rPr>
                <w:rFonts w:hint="eastAsia" w:ascii="仿宋" w:hAnsi="仿宋" w:eastAsia="仿宋" w:cs="仿宋"/>
                <w:color w:val="auto"/>
                <w:sz w:val="24"/>
                <w:szCs w:val="24"/>
                <w:highlight w:val="none"/>
                <w:lang w:val="en-US" w:eastAsia="zh-CN"/>
              </w:rPr>
              <w:t>保障措施、⑤包装、运输方案⑥紧急配送方案⑦</w:t>
            </w:r>
            <w:r>
              <w:rPr>
                <w:rFonts w:hint="eastAsia" w:ascii="仿宋" w:hAnsi="仿宋" w:eastAsia="仿宋" w:cs="仿宋"/>
              </w:rPr>
              <w:t>配送人员的分工职责明确⑧针对质量问题产品的退换货机制</w:t>
            </w:r>
            <w:r>
              <w:rPr>
                <w:rFonts w:hint="eastAsia" w:ascii="仿宋" w:hAnsi="仿宋" w:eastAsia="仿宋" w:cs="仿宋"/>
                <w:b w:val="0"/>
                <w:bCs w:val="0"/>
                <w:color w:val="auto"/>
                <w:szCs w:val="24"/>
                <w:highlight w:val="none"/>
              </w:rPr>
              <w:t>）进行评分：</w:t>
            </w:r>
          </w:p>
          <w:p w14:paraId="76087BF2">
            <w:pPr>
              <w:pStyle w:val="33"/>
              <w:keepNext w:val="0"/>
              <w:keepLines w:val="0"/>
              <w:pageBreakBefore w:val="0"/>
              <w:widowControl w:val="0"/>
              <w:shd w:val="clear" w:fill="FFFFFF" w:themeFill="background1"/>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以上8项方案内容全部提供，</w:t>
            </w: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bCs/>
                <w:color w:val="auto"/>
                <w:highlight w:val="none"/>
                <w:lang w:val="en-US" w:eastAsia="zh-CN"/>
              </w:rPr>
              <w:t>项目特点分析</w:t>
            </w:r>
            <w:r>
              <w:rPr>
                <w:rFonts w:hint="eastAsia" w:ascii="仿宋" w:hAnsi="仿宋" w:eastAsia="仿宋" w:cs="仿宋"/>
                <w:color w:val="auto"/>
                <w:sz w:val="24"/>
                <w:szCs w:val="24"/>
                <w:highlight w:val="none"/>
              </w:rPr>
              <w:t>充分结合项目特征，</w:t>
            </w:r>
            <w:r>
              <w:rPr>
                <w:rFonts w:hint="eastAsia" w:ascii="仿宋" w:hAnsi="仿宋" w:eastAsia="仿宋" w:cs="仿宋"/>
                <w:b w:val="0"/>
                <w:bCs w:val="0"/>
                <w:color w:val="auto"/>
                <w:kern w:val="0"/>
                <w:sz w:val="24"/>
                <w:szCs w:val="24"/>
                <w:highlight w:val="none"/>
                <w:lang w:val="en-US" w:eastAsia="zh-CN"/>
              </w:rPr>
              <w:t>充分考虑了</w:t>
            </w:r>
            <w:r>
              <w:rPr>
                <w:rFonts w:hint="eastAsia" w:ascii="仿宋" w:hAnsi="仿宋" w:eastAsia="仿宋" w:cs="仿宋"/>
                <w:b w:val="0"/>
                <w:bCs w:val="0"/>
                <w:color w:val="auto"/>
                <w:kern w:val="0"/>
                <w:sz w:val="24"/>
                <w:szCs w:val="24"/>
                <w:highlight w:val="none"/>
                <w:lang w:eastAsia="zh-CN"/>
              </w:rPr>
              <w:t>医院的特点、</w:t>
            </w:r>
            <w:r>
              <w:rPr>
                <w:rFonts w:hint="eastAsia" w:ascii="仿宋" w:hAnsi="仿宋" w:eastAsia="仿宋" w:cs="仿宋"/>
                <w:b w:val="0"/>
                <w:bCs w:val="0"/>
                <w:color w:val="auto"/>
                <w:kern w:val="0"/>
                <w:sz w:val="24"/>
                <w:szCs w:val="24"/>
                <w:highlight w:val="none"/>
                <w:lang w:val="en-US" w:eastAsia="zh-CN"/>
              </w:rPr>
              <w:t>需求，对重点关键环节把握到位，对难点问题有充分预计，把握考虑周到</w:t>
            </w:r>
            <w:r>
              <w:rPr>
                <w:rFonts w:hint="eastAsia" w:ascii="仿宋" w:hAnsi="仿宋" w:eastAsia="仿宋" w:cs="仿宋"/>
                <w:b w:val="0"/>
                <w:bCs w:val="0"/>
                <w:color w:val="auto"/>
                <w:highlight w:val="none"/>
                <w:lang w:val="en-US" w:eastAsia="zh-CN"/>
              </w:rPr>
              <w:t>；</w:t>
            </w: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bCs/>
                <w:color w:val="auto"/>
                <w:highlight w:val="none"/>
                <w:lang w:val="en-US" w:eastAsia="zh-CN"/>
              </w:rPr>
              <w:t>配送、交货方案及流程计划</w:t>
            </w:r>
            <w:r>
              <w:rPr>
                <w:rFonts w:hint="eastAsia" w:ascii="仿宋" w:hAnsi="仿宋" w:eastAsia="仿宋" w:cs="仿宋"/>
                <w:b w:val="0"/>
                <w:bCs w:val="0"/>
                <w:color w:val="auto"/>
                <w:highlight w:val="none"/>
                <w:lang w:val="en-US" w:eastAsia="zh-CN"/>
              </w:rPr>
              <w:t>完善合理，</w:t>
            </w:r>
            <w:r>
              <w:rPr>
                <w:rFonts w:hint="eastAsia" w:ascii="仿宋" w:hAnsi="仿宋" w:eastAsia="仿宋" w:cs="仿宋"/>
                <w:color w:val="auto"/>
                <w:sz w:val="24"/>
                <w:szCs w:val="24"/>
                <w:highlight w:val="none"/>
              </w:rPr>
              <w:t>提供具有针对性的具体的集中配送管理及措施方案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时间客观合理，能够完全保障项目供货要求，货物交接环节科学严谨</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③</w:t>
            </w:r>
            <w:r>
              <w:rPr>
                <w:rFonts w:hint="eastAsia" w:ascii="仿宋" w:hAnsi="仿宋" w:eastAsia="仿宋" w:cs="仿宋"/>
                <w:b/>
                <w:bCs/>
                <w:color w:val="auto"/>
                <w:sz w:val="24"/>
                <w:szCs w:val="24"/>
                <w:highlight w:val="none"/>
                <w:lang w:val="en-US" w:eastAsia="zh-CN"/>
              </w:rPr>
              <w:t>配送应急预案</w:t>
            </w:r>
            <w:r>
              <w:rPr>
                <w:rFonts w:hint="eastAsia" w:ascii="仿宋" w:hAnsi="仿宋" w:eastAsia="仿宋" w:cs="仿宋"/>
                <w:color w:val="auto"/>
                <w:sz w:val="24"/>
                <w:szCs w:val="24"/>
                <w:highlight w:val="none"/>
                <w:lang w:val="en-US" w:eastAsia="zh-CN"/>
              </w:rPr>
              <w:t>考虑全面，针对</w:t>
            </w:r>
            <w:r>
              <w:rPr>
                <w:rFonts w:hint="eastAsia" w:ascii="仿宋" w:hAnsi="仿宋" w:eastAsia="仿宋" w:cs="仿宋"/>
                <w:b w:val="0"/>
                <w:bCs w:val="0"/>
                <w:color w:val="auto"/>
                <w:kern w:val="0"/>
                <w:sz w:val="24"/>
                <w:szCs w:val="24"/>
                <w:highlight w:val="none"/>
              </w:rPr>
              <w:t>配送过程中</w:t>
            </w:r>
            <w:r>
              <w:rPr>
                <w:rFonts w:hint="eastAsia" w:ascii="仿宋" w:hAnsi="仿宋" w:eastAsia="仿宋" w:cs="仿宋"/>
                <w:b w:val="0"/>
                <w:bCs w:val="0"/>
                <w:color w:val="auto"/>
                <w:kern w:val="0"/>
                <w:sz w:val="24"/>
                <w:szCs w:val="24"/>
                <w:highlight w:val="none"/>
                <w:lang w:val="en-US" w:eastAsia="zh-CN"/>
              </w:rPr>
              <w:t>可能出现的</w:t>
            </w:r>
            <w:r>
              <w:rPr>
                <w:rFonts w:hint="eastAsia" w:ascii="仿宋" w:hAnsi="仿宋" w:eastAsia="仿宋" w:cs="仿宋"/>
                <w:b w:val="0"/>
                <w:bCs w:val="0"/>
                <w:color w:val="auto"/>
                <w:kern w:val="0"/>
                <w:sz w:val="24"/>
                <w:szCs w:val="24"/>
                <w:highlight w:val="none"/>
              </w:rPr>
              <w:t>风险点</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如</w:t>
            </w:r>
            <w:r>
              <w:rPr>
                <w:rFonts w:hint="eastAsia" w:ascii="仿宋" w:hAnsi="仿宋" w:eastAsia="仿宋" w:cs="仿宋"/>
                <w:color w:val="auto"/>
                <w:sz w:val="24"/>
                <w:szCs w:val="24"/>
                <w:highlight w:val="none"/>
                <w:lang w:val="en-US" w:eastAsia="zh-CN"/>
              </w:rPr>
              <w:t>恶劣天气、自然灾害、节假日配送等</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kern w:val="2"/>
                <w:sz w:val="24"/>
                <w:szCs w:val="22"/>
                <w:highlight w:val="none"/>
                <w:lang w:val="en-US" w:eastAsia="zh-CN" w:bidi="ar-SA"/>
              </w:rPr>
              <w:t>所供货产品可能出现的缺货情况</w:t>
            </w:r>
            <w:r>
              <w:rPr>
                <w:rFonts w:hint="eastAsia" w:ascii="仿宋" w:hAnsi="仿宋" w:eastAsia="仿宋" w:cs="仿宋"/>
                <w:color w:val="auto"/>
                <w:kern w:val="2"/>
                <w:sz w:val="24"/>
                <w:szCs w:val="24"/>
                <w:highlight w:val="none"/>
                <w:lang w:val="en-US" w:eastAsia="zh-CN" w:bidi="ar-SA"/>
              </w:rPr>
              <w:t>等情况</w:t>
            </w:r>
            <w:r>
              <w:rPr>
                <w:rFonts w:hint="eastAsia" w:ascii="仿宋" w:hAnsi="仿宋" w:eastAsia="仿宋" w:cs="仿宋"/>
                <w:color w:val="auto"/>
                <w:kern w:val="2"/>
                <w:sz w:val="24"/>
                <w:szCs w:val="22"/>
                <w:highlight w:val="none"/>
                <w:lang w:val="en-US" w:eastAsia="zh-CN" w:bidi="ar-SA"/>
              </w:rPr>
              <w:t>）建立了完善合理的应急预案，</w:t>
            </w:r>
            <w:r>
              <w:rPr>
                <w:rFonts w:hint="eastAsia" w:ascii="仿宋" w:hAnsi="仿宋" w:eastAsia="仿宋" w:cs="仿宋"/>
                <w:color w:val="auto"/>
                <w:sz w:val="24"/>
                <w:szCs w:val="24"/>
                <w:highlight w:val="none"/>
                <w:lang w:val="en-US" w:eastAsia="zh-CN"/>
              </w:rPr>
              <w:t>保障措施有力，</w:t>
            </w:r>
            <w:r>
              <w:rPr>
                <w:rFonts w:hint="eastAsia" w:ascii="仿宋" w:hAnsi="仿宋" w:eastAsia="仿宋" w:cs="仿宋"/>
                <w:color w:val="auto"/>
                <w:kern w:val="2"/>
                <w:sz w:val="24"/>
                <w:szCs w:val="22"/>
                <w:highlight w:val="none"/>
                <w:lang w:val="en-US" w:eastAsia="zh-CN" w:bidi="ar-SA"/>
              </w:rPr>
              <w:t>处置方式完备合理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2"/>
                <w:highlight w:val="none"/>
                <w:lang w:val="en-US" w:eastAsia="zh-CN" w:bidi="ar-SA"/>
              </w:rPr>
              <w:t>④</w:t>
            </w:r>
            <w:r>
              <w:rPr>
                <w:rFonts w:hint="eastAsia" w:ascii="仿宋" w:hAnsi="仿宋" w:eastAsia="仿宋" w:cs="仿宋"/>
                <w:b/>
                <w:bCs/>
                <w:color w:val="auto"/>
                <w:kern w:val="2"/>
                <w:sz w:val="24"/>
                <w:szCs w:val="22"/>
                <w:highlight w:val="none"/>
                <w:lang w:val="en-US" w:eastAsia="zh-CN" w:bidi="ar-SA"/>
              </w:rPr>
              <w:t>配送</w:t>
            </w:r>
            <w:r>
              <w:rPr>
                <w:rFonts w:hint="eastAsia" w:ascii="仿宋" w:hAnsi="仿宋" w:eastAsia="仿宋" w:cs="仿宋"/>
                <w:b/>
                <w:bCs/>
                <w:color w:val="auto"/>
                <w:sz w:val="24"/>
                <w:szCs w:val="24"/>
                <w:highlight w:val="none"/>
                <w:lang w:val="en-US" w:eastAsia="zh-CN"/>
              </w:rPr>
              <w:t>保障措施：</w:t>
            </w:r>
            <w:r>
              <w:rPr>
                <w:rFonts w:hint="eastAsia" w:ascii="仿宋" w:hAnsi="仿宋" w:eastAsia="仿宋" w:cs="仿宋"/>
                <w:b w:val="0"/>
                <w:bCs w:val="0"/>
                <w:color w:val="auto"/>
                <w:sz w:val="24"/>
                <w:szCs w:val="24"/>
                <w:highlight w:val="none"/>
                <w:lang w:val="en-US" w:eastAsia="zh-CN"/>
              </w:rPr>
              <w:t>内容详尽、明确、清晰，阐述细致、透彻、条理清楚、思路清晰，对项目实际情况和关键难点把握充分，保障方法合理有效、有针对性、可行性和可操作性</w:t>
            </w:r>
            <w:r>
              <w:rPr>
                <w:rFonts w:hint="eastAsia" w:ascii="仿宋" w:hAnsi="仿宋" w:eastAsia="仿宋" w:cs="仿宋"/>
                <w:b w:val="0"/>
                <w:bCs w:val="0"/>
                <w:color w:val="auto"/>
                <w:highlight w:val="none"/>
                <w:lang w:val="en-US" w:eastAsia="zh-CN"/>
              </w:rPr>
              <w:t>。</w:t>
            </w:r>
            <w:r>
              <w:rPr>
                <w:rFonts w:hint="eastAsia" w:ascii="仿宋" w:hAnsi="仿宋" w:eastAsia="仿宋" w:cs="仿宋"/>
                <w:b/>
                <w:bCs/>
                <w:color w:val="auto"/>
                <w:sz w:val="24"/>
                <w:szCs w:val="24"/>
                <w:highlight w:val="none"/>
                <w:lang w:val="en-US" w:eastAsia="zh-CN"/>
              </w:rPr>
              <w:t>⑤包装、运输方案：</w:t>
            </w:r>
            <w:r>
              <w:rPr>
                <w:rFonts w:hint="eastAsia" w:ascii="仿宋" w:hAnsi="仿宋" w:eastAsia="仿宋" w:cs="仿宋"/>
                <w:b w:val="0"/>
                <w:bCs w:val="0"/>
                <w:color w:val="auto"/>
                <w:sz w:val="24"/>
                <w:szCs w:val="24"/>
                <w:highlight w:val="none"/>
                <w:lang w:val="en-US" w:eastAsia="zh-CN"/>
              </w:rPr>
              <w:t>符合相关包装运输规范、针对不同的中药饮片有相应的包装运输方式、阐述详细、明确；</w:t>
            </w:r>
            <w:r>
              <w:rPr>
                <w:rFonts w:hint="eastAsia" w:ascii="仿宋" w:hAnsi="仿宋" w:eastAsia="仿宋" w:cs="仿宋"/>
                <w:b/>
                <w:bCs/>
                <w:color w:val="auto"/>
                <w:sz w:val="24"/>
                <w:szCs w:val="24"/>
                <w:highlight w:val="none"/>
                <w:lang w:val="en-US" w:eastAsia="zh-CN"/>
              </w:rPr>
              <w:t>⑥紧急配送方案：</w:t>
            </w:r>
            <w:r>
              <w:rPr>
                <w:rFonts w:hint="eastAsia" w:ascii="仿宋" w:hAnsi="仿宋" w:eastAsia="仿宋" w:cs="仿宋"/>
              </w:rPr>
              <w:t>临时配送要求的应急方案，方案中至少包含能保证本项目临时配送要求的配送网点的地点及产品库存的数量等</w:t>
            </w:r>
            <w:r>
              <w:rPr>
                <w:rFonts w:hint="eastAsia" w:ascii="仿宋" w:hAnsi="仿宋" w:eastAsia="仿宋" w:cs="仿宋"/>
                <w:lang w:eastAsia="zh-CN"/>
              </w:rPr>
              <w:t>；</w:t>
            </w:r>
            <w:r>
              <w:rPr>
                <w:rFonts w:hint="eastAsia" w:ascii="仿宋" w:hAnsi="仿宋" w:eastAsia="仿宋" w:cs="仿宋"/>
                <w:b/>
                <w:bCs/>
                <w:color w:val="auto"/>
                <w:sz w:val="24"/>
                <w:szCs w:val="24"/>
                <w:highlight w:val="none"/>
                <w:lang w:val="en-US" w:eastAsia="zh-CN"/>
              </w:rPr>
              <w:t>⑦</w:t>
            </w:r>
            <w:r>
              <w:rPr>
                <w:rFonts w:hint="eastAsia" w:ascii="仿宋" w:hAnsi="仿宋" w:eastAsia="仿宋" w:cs="仿宋"/>
                <w:b/>
                <w:bCs/>
              </w:rPr>
              <w:t>配送人员的分工职责</w:t>
            </w:r>
            <w:r>
              <w:rPr>
                <w:rFonts w:hint="eastAsia" w:ascii="仿宋" w:hAnsi="仿宋" w:eastAsia="仿宋" w:cs="仿宋"/>
                <w:b/>
                <w:bCs/>
                <w:lang w:eastAsia="zh-CN"/>
              </w:rPr>
              <w:t>：</w:t>
            </w:r>
            <w:r>
              <w:rPr>
                <w:rFonts w:hint="eastAsia" w:ascii="仿宋" w:hAnsi="仿宋" w:eastAsia="仿宋" w:cs="仿宋"/>
                <w:b w:val="0"/>
                <w:bCs w:val="0"/>
                <w:lang w:val="en-US" w:eastAsia="zh-CN"/>
              </w:rPr>
              <w:t>职责</w:t>
            </w:r>
            <w:r>
              <w:rPr>
                <w:rFonts w:hint="eastAsia" w:ascii="仿宋" w:hAnsi="仿宋" w:eastAsia="仿宋" w:cs="仿宋"/>
                <w:b w:val="0"/>
                <w:bCs w:val="0"/>
              </w:rPr>
              <w:t>明确</w:t>
            </w:r>
            <w:r>
              <w:rPr>
                <w:rFonts w:hint="eastAsia" w:ascii="仿宋" w:hAnsi="仿宋" w:eastAsia="仿宋" w:cs="仿宋"/>
                <w:b w:val="0"/>
                <w:bCs w:val="0"/>
                <w:lang w:eastAsia="zh-CN"/>
              </w:rPr>
              <w:t>，</w:t>
            </w:r>
            <w:r>
              <w:rPr>
                <w:rFonts w:hint="eastAsia" w:ascii="仿宋" w:hAnsi="仿宋" w:eastAsia="仿宋" w:cs="仿宋"/>
                <w:b w:val="0"/>
                <w:bCs w:val="0"/>
                <w:lang w:val="en-US" w:eastAsia="zh-CN"/>
              </w:rPr>
              <w:t>配送人员名单详细、安排合理可行，</w:t>
            </w:r>
            <w:r>
              <w:rPr>
                <w:rFonts w:hint="eastAsia" w:ascii="仿宋" w:hAnsi="仿宋" w:eastAsia="仿宋" w:cs="仿宋"/>
                <w:b w:val="0"/>
                <w:bCs w:val="0"/>
                <w:color w:val="auto"/>
                <w:sz w:val="24"/>
                <w:szCs w:val="24"/>
                <w:highlight w:val="none"/>
                <w:lang w:val="en-US" w:eastAsia="zh-CN"/>
              </w:rPr>
              <w:t>内容全面、具体、详细，描述详尽；</w:t>
            </w:r>
            <w:r>
              <w:rPr>
                <w:rFonts w:hint="eastAsia" w:ascii="仿宋" w:hAnsi="仿宋" w:eastAsia="仿宋" w:cs="仿宋"/>
                <w:b/>
                <w:bCs/>
              </w:rPr>
              <w:t>⑧针对质量问题产品的退换货机制</w:t>
            </w:r>
            <w:r>
              <w:rPr>
                <w:rFonts w:hint="eastAsia" w:ascii="仿宋" w:hAnsi="仿宋" w:eastAsia="仿宋" w:cs="仿宋"/>
                <w:b/>
                <w:bCs/>
                <w:lang w:eastAsia="zh-CN"/>
              </w:rPr>
              <w:t>：</w:t>
            </w:r>
            <w:r>
              <w:rPr>
                <w:rFonts w:hint="eastAsia" w:ascii="仿宋" w:hAnsi="仿宋" w:eastAsia="仿宋" w:cs="仿宋"/>
                <w:b w:val="0"/>
                <w:bCs w:val="0"/>
                <w:lang w:eastAsia="zh-CN"/>
              </w:rPr>
              <w:t>三包政策承诺充分完善，退换货流程简洁迅速、承诺合理可行性高，近效期饮片处理流程合规准确、承诺合理可行性高，提出合理可行的建议；</w:t>
            </w:r>
          </w:p>
          <w:p w14:paraId="32478718">
            <w:pPr>
              <w:pStyle w:val="33"/>
              <w:keepNext w:val="0"/>
              <w:keepLines w:val="0"/>
              <w:pageBreakBefore w:val="0"/>
              <w:widowControl w:val="0"/>
              <w:shd w:val="clear" w:fill="FFFFFF" w:themeFill="background1"/>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b w:val="0"/>
                <w:bCs w:val="0"/>
                <w:lang w:val="en-US" w:eastAsia="zh-CN"/>
              </w:rPr>
              <w:t>以上</w:t>
            </w:r>
            <w:r>
              <w:rPr>
                <w:rFonts w:hint="eastAsia" w:ascii="仿宋" w:hAnsi="仿宋" w:eastAsia="仿宋" w:cs="仿宋"/>
                <w:b w:val="0"/>
                <w:bCs w:val="0"/>
                <w:color w:val="auto"/>
                <w:sz w:val="24"/>
                <w:szCs w:val="24"/>
                <w:highlight w:val="none"/>
                <w:lang w:val="en-US" w:eastAsia="zh-CN"/>
              </w:rPr>
              <w:t>方案8项内容中</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每存在1项</w:t>
            </w:r>
            <w:r>
              <w:rPr>
                <w:rFonts w:hint="eastAsia" w:ascii="仿宋" w:hAnsi="仿宋" w:eastAsia="仿宋" w:cs="仿宋"/>
                <w:b/>
                <w:bCs w:val="0"/>
                <w:color w:val="auto"/>
                <w:kern w:val="2"/>
                <w:sz w:val="24"/>
                <w:szCs w:val="24"/>
                <w:highlight w:val="none"/>
                <w:lang w:val="en-US" w:eastAsia="zh-CN"/>
              </w:rPr>
              <w:t>缺项</w:t>
            </w:r>
            <w:r>
              <w:rPr>
                <w:rFonts w:hint="eastAsia" w:ascii="仿宋" w:hAnsi="仿宋" w:eastAsia="仿宋" w:cs="仿宋"/>
                <w:b/>
                <w:bCs w:val="0"/>
                <w:color w:val="auto"/>
                <w:kern w:val="2"/>
                <w:sz w:val="24"/>
                <w:szCs w:val="24"/>
                <w:highlight w:val="none"/>
              </w:rPr>
              <w:t>漏项</w:t>
            </w:r>
            <w:r>
              <w:rPr>
                <w:rFonts w:hint="eastAsia" w:ascii="仿宋" w:hAnsi="仿宋" w:eastAsia="仿宋" w:cs="仿宋"/>
                <w:color w:val="auto"/>
                <w:kern w:val="2"/>
                <w:sz w:val="24"/>
                <w:szCs w:val="24"/>
                <w:highlight w:val="none"/>
              </w:rPr>
              <w:t>的扣</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分，每存在</w:t>
            </w:r>
            <w:r>
              <w:rPr>
                <w:rFonts w:hint="eastAsia" w:ascii="仿宋" w:hAnsi="仿宋" w:eastAsia="仿宋" w:cs="仿宋"/>
                <w:color w:val="auto"/>
                <w:kern w:val="2"/>
                <w:sz w:val="24"/>
                <w:szCs w:val="24"/>
                <w:highlight w:val="none"/>
                <w:lang w:val="en-US" w:eastAsia="zh-CN"/>
              </w:rPr>
              <w:t>1处</w:t>
            </w:r>
            <w:r>
              <w:rPr>
                <w:rFonts w:hint="eastAsia" w:ascii="仿宋" w:hAnsi="仿宋" w:eastAsia="仿宋" w:cs="仿宋"/>
                <w:color w:val="auto"/>
                <w:sz w:val="24"/>
                <w:szCs w:val="24"/>
                <w:highlight w:val="none"/>
              </w:rPr>
              <w:t>内容</w:t>
            </w:r>
            <w:r>
              <w:rPr>
                <w:rFonts w:hint="eastAsia" w:ascii="仿宋" w:hAnsi="仿宋" w:eastAsia="仿宋" w:cs="仿宋"/>
                <w:b/>
                <w:bCs w:val="0"/>
                <w:color w:val="auto"/>
                <w:sz w:val="24"/>
                <w:szCs w:val="24"/>
                <w:highlight w:val="none"/>
                <w:lang w:val="en-US" w:eastAsia="zh-CN"/>
              </w:rPr>
              <w:t>描述</w:t>
            </w:r>
            <w:r>
              <w:rPr>
                <w:rFonts w:hint="eastAsia" w:ascii="仿宋" w:hAnsi="仿宋" w:eastAsia="仿宋" w:cs="仿宋"/>
                <w:b/>
                <w:bCs w:val="0"/>
                <w:color w:val="auto"/>
                <w:sz w:val="24"/>
                <w:szCs w:val="24"/>
                <w:highlight w:val="none"/>
              </w:rPr>
              <w:t>不完整或有缺陷或与项目不匹配</w:t>
            </w:r>
            <w:r>
              <w:rPr>
                <w:rFonts w:hint="eastAsia" w:ascii="仿宋" w:hAnsi="仿宋" w:eastAsia="仿宋" w:cs="仿宋"/>
                <w:color w:val="auto"/>
                <w:kern w:val="2"/>
                <w:sz w:val="24"/>
                <w:szCs w:val="24"/>
                <w:highlight w:val="none"/>
              </w:rPr>
              <w:t>扣</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val="en-US" w:eastAsia="zh-CN"/>
              </w:rPr>
              <w:t>每项内容最多扣3分，24</w:t>
            </w:r>
            <w:r>
              <w:rPr>
                <w:rFonts w:hint="eastAsia" w:ascii="仿宋" w:hAnsi="仿宋" w:eastAsia="仿宋" w:cs="仿宋"/>
                <w:color w:val="auto"/>
                <w:kern w:val="2"/>
                <w:sz w:val="24"/>
                <w:szCs w:val="24"/>
                <w:highlight w:val="none"/>
              </w:rPr>
              <w:t>分扣完为止。</w:t>
            </w:r>
          </w:p>
          <w:p w14:paraId="79E196D7">
            <w:pPr>
              <w:pStyle w:val="3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描述</w:t>
            </w:r>
            <w:r>
              <w:rPr>
                <w:rFonts w:hint="eastAsia" w:ascii="仿宋" w:hAnsi="仿宋" w:eastAsia="仿宋" w:cs="仿宋"/>
                <w:color w:val="auto"/>
                <w:sz w:val="24"/>
                <w:szCs w:val="24"/>
                <w:highlight w:val="none"/>
              </w:rPr>
              <w:t>不完整或有缺陷或与项目不匹配是指非专门针对本项目或不适</w:t>
            </w:r>
            <w:r>
              <w:rPr>
                <w:rFonts w:hint="eastAsia" w:ascii="仿宋" w:hAnsi="仿宋" w:eastAsia="仿宋" w:cs="仿宋"/>
                <w:color w:val="auto"/>
                <w:sz w:val="24"/>
                <w:szCs w:val="24"/>
                <w:highlight w:val="none"/>
                <w:lang w:eastAsia="zh-CN"/>
              </w:rPr>
              <w:t>用的</w:t>
            </w:r>
            <w:r>
              <w:rPr>
                <w:rFonts w:hint="eastAsia" w:ascii="仿宋" w:hAnsi="仿宋" w:eastAsia="仿宋" w:cs="仿宋"/>
                <w:color w:val="auto"/>
                <w:sz w:val="24"/>
                <w:szCs w:val="24"/>
                <w:highlight w:val="none"/>
              </w:rPr>
              <w:t>项目特性的情形、内容不明确、表述不清晰或不完善</w:t>
            </w:r>
            <w:r>
              <w:rPr>
                <w:rFonts w:hint="eastAsia" w:ascii="仿宋" w:hAnsi="仿宋" w:eastAsia="仿宋" w:cs="仿宋"/>
                <w:color w:val="auto"/>
                <w:sz w:val="24"/>
                <w:szCs w:val="24"/>
                <w:highlight w:val="none"/>
                <w:lang w:val="en-US" w:eastAsia="zh-CN"/>
              </w:rPr>
              <w:t>或过于简陋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缺少关键节点</w:t>
            </w:r>
            <w:r>
              <w:rPr>
                <w:rFonts w:hint="eastAsia" w:ascii="仿宋" w:hAnsi="仿宋" w:eastAsia="仿宋" w:cs="仿宋"/>
                <w:color w:val="auto"/>
                <w:sz w:val="24"/>
                <w:szCs w:val="24"/>
                <w:highlight w:val="none"/>
                <w:lang w:val="en-US" w:eastAsia="zh-CN"/>
              </w:rPr>
              <w:t>说明或说明不详细</w:t>
            </w:r>
            <w:r>
              <w:rPr>
                <w:rFonts w:hint="eastAsia" w:ascii="仿宋" w:hAnsi="仿宋" w:eastAsia="仿宋" w:cs="仿宋"/>
                <w:color w:val="auto"/>
                <w:sz w:val="24"/>
                <w:szCs w:val="24"/>
                <w:highlight w:val="none"/>
              </w:rPr>
              <w:t>、套用其他项目方案、内容前后矛盾、涉及的规范及标准错误、不利于项目实施、不可能实现的情形等任意一种情形。</w:t>
            </w:r>
          </w:p>
        </w:tc>
      </w:tr>
      <w:tr w14:paraId="066DC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6" w:type="dxa"/>
            <w:vMerge w:val="continue"/>
            <w:shd w:val="clear" w:color="auto" w:fill="FFFFFF" w:themeFill="background1"/>
            <w:vAlign w:val="center"/>
          </w:tcPr>
          <w:p w14:paraId="13AD23EC">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highlight w:val="none"/>
              </w:rPr>
            </w:pPr>
          </w:p>
        </w:tc>
        <w:tc>
          <w:tcPr>
            <w:tcW w:w="1286" w:type="dxa"/>
            <w:tcBorders>
              <w:bottom w:val="single" w:color="auto" w:sz="4" w:space="0"/>
            </w:tcBorders>
            <w:shd w:val="clear" w:color="auto" w:fill="FFFFFF" w:themeFill="background1"/>
            <w:vAlign w:val="center"/>
          </w:tcPr>
          <w:p w14:paraId="2A5F84CA">
            <w:pPr>
              <w:pStyle w:val="33"/>
              <w:shd w:val="clear" w:fill="FFFFFF" w:themeFill="background1"/>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3.质量控制方案（满分3分）</w:t>
            </w:r>
          </w:p>
        </w:tc>
        <w:tc>
          <w:tcPr>
            <w:tcW w:w="8013" w:type="dxa"/>
            <w:tcBorders>
              <w:bottom w:val="single" w:color="auto" w:sz="4" w:space="0"/>
            </w:tcBorders>
            <w:shd w:val="clear" w:color="auto" w:fill="FFFFFF" w:themeFill="background1"/>
            <w:vAlign w:val="center"/>
          </w:tcPr>
          <w:p w14:paraId="3783AF07">
            <w:pPr>
              <w:pStyle w:val="3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根据投标人提供的（质检记录、质量控制流程、质检放行、入库、出库等）进行综合评审：</w:t>
            </w:r>
          </w:p>
          <w:p w14:paraId="6C4B1B35">
            <w:pPr>
              <w:pStyle w:val="33"/>
              <w:keepNext w:val="0"/>
              <w:keepLines w:val="0"/>
              <w:pageBreakBefore w:val="0"/>
              <w:widowControl w:val="0"/>
              <w:numPr>
                <w:ilvl w:val="0"/>
                <w:numId w:val="8"/>
              </w:numPr>
              <w:shd w:val="clear" w:fill="FFFFFF" w:themeFill="background1"/>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质量控制体系、质检管理文件和质检记录内容详尽、规范标准，得3分；</w:t>
            </w:r>
          </w:p>
          <w:p w14:paraId="06C00197">
            <w:pPr>
              <w:pStyle w:val="33"/>
              <w:keepNext w:val="0"/>
              <w:keepLines w:val="0"/>
              <w:pageBreakBefore w:val="0"/>
              <w:widowControl w:val="0"/>
              <w:numPr>
                <w:ilvl w:val="0"/>
                <w:numId w:val="8"/>
              </w:numPr>
              <w:shd w:val="clear" w:fill="FFFFFF" w:themeFill="background1"/>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质量控制体系、质检管理文件和质检记录内容较详细、规范，得2分； （3）质量控制体系、质检管理文件和质检记录内容详细、规范不明确，得1分；</w:t>
            </w:r>
          </w:p>
          <w:p w14:paraId="5F11230F">
            <w:pPr>
              <w:pStyle w:val="33"/>
              <w:keepNext w:val="0"/>
              <w:keepLines w:val="0"/>
              <w:pageBreakBefore w:val="0"/>
              <w:widowControl w:val="0"/>
              <w:numPr>
                <w:ilvl w:val="0"/>
                <w:numId w:val="9"/>
              </w:numPr>
              <w:shd w:val="clear" w:fill="FFFFFF" w:themeFill="background1"/>
              <w:kinsoku/>
              <w:wordWrap/>
              <w:overflowPunct/>
              <w:topLinePunct w:val="0"/>
              <w:autoSpaceDE w:val="0"/>
              <w:autoSpaceDN w:val="0"/>
              <w:bidi w:val="0"/>
              <w:adjustRightInd w:val="0"/>
              <w:snapToGrid/>
              <w:spacing w:line="440" w:lineRule="exact"/>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质量控制体系、质检管理文件和质检记录内容欠妥，或未提供对应方案不得分。</w:t>
            </w:r>
          </w:p>
        </w:tc>
      </w:tr>
      <w:tr w14:paraId="409F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46" w:hRule="atLeast"/>
          <w:jc w:val="center"/>
        </w:trPr>
        <w:tc>
          <w:tcPr>
            <w:tcW w:w="906" w:type="dxa"/>
            <w:vMerge w:val="continue"/>
            <w:shd w:val="clear" w:color="auto" w:fill="FFFFFF" w:themeFill="background1"/>
            <w:vAlign w:val="center"/>
          </w:tcPr>
          <w:p w14:paraId="2CDA8DC0">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highlight w:val="none"/>
              </w:rPr>
            </w:pPr>
          </w:p>
        </w:tc>
        <w:tc>
          <w:tcPr>
            <w:tcW w:w="1286" w:type="dxa"/>
            <w:tcBorders>
              <w:bottom w:val="single" w:color="auto" w:sz="4" w:space="0"/>
            </w:tcBorders>
            <w:shd w:val="clear" w:color="auto" w:fill="FFFFFF" w:themeFill="background1"/>
            <w:vAlign w:val="center"/>
          </w:tcPr>
          <w:p w14:paraId="23ACD572">
            <w:pPr>
              <w:pStyle w:val="8"/>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Chars="0" w:right="0" w:rightChars="0"/>
              <w:jc w:val="both"/>
              <w:textAlignment w:val="auto"/>
              <w:outlineLvl w:val="9"/>
              <w:rPr>
                <w:rFonts w:hint="eastAsia" w:ascii="仿宋" w:hAnsi="仿宋" w:eastAsia="仿宋" w:cs="仿宋"/>
                <w:bCs w:val="0"/>
                <w:iCs w:val="0"/>
                <w:color w:val="auto"/>
                <w:kern w:val="2"/>
                <w:sz w:val="24"/>
                <w:szCs w:val="24"/>
                <w:highlight w:val="none"/>
                <w:lang w:val="en-US" w:eastAsia="zh-CN" w:bidi="ar-SA"/>
              </w:rPr>
            </w:pPr>
            <w:r>
              <w:rPr>
                <w:rFonts w:hint="eastAsia" w:ascii="仿宋" w:hAnsi="仿宋" w:eastAsia="仿宋" w:cs="仿宋"/>
                <w:bCs w:val="0"/>
                <w:iCs w:val="0"/>
                <w:color w:val="auto"/>
                <w:kern w:val="2"/>
                <w:sz w:val="24"/>
                <w:szCs w:val="24"/>
                <w:highlight w:val="none"/>
                <w:lang w:val="en-US" w:eastAsia="zh-CN" w:bidi="ar-SA"/>
              </w:rPr>
              <w:t>4.质量承诺及违约责任承诺评审评分</w:t>
            </w:r>
          </w:p>
          <w:p w14:paraId="1B4640D7">
            <w:pPr>
              <w:pStyle w:val="8"/>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bCs w:val="0"/>
                <w:iCs w:val="0"/>
                <w:color w:val="auto"/>
                <w:kern w:val="2"/>
                <w:sz w:val="24"/>
                <w:szCs w:val="24"/>
                <w:highlight w:val="none"/>
                <w:lang w:val="en-US" w:eastAsia="zh-CN" w:bidi="ar-SA"/>
              </w:rPr>
              <w:t>（6分）</w:t>
            </w:r>
          </w:p>
        </w:tc>
        <w:tc>
          <w:tcPr>
            <w:tcW w:w="8013" w:type="dxa"/>
            <w:tcBorders>
              <w:bottom w:val="single" w:color="auto" w:sz="4" w:space="0"/>
            </w:tcBorders>
            <w:shd w:val="clear" w:color="auto" w:fill="FFFFFF" w:themeFill="background1"/>
            <w:vAlign w:val="center"/>
          </w:tcPr>
          <w:p w14:paraId="66A00D38">
            <w:pPr>
              <w:pStyle w:val="3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val="0"/>
              <w:snapToGrid/>
              <w:spacing w:before="157" w:beforeLines="50" w:line="440" w:lineRule="exact"/>
              <w:ind w:leftChars="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bCs w:val="0"/>
                <w:iCs w:val="0"/>
                <w:color w:val="auto"/>
                <w:kern w:val="2"/>
                <w:sz w:val="24"/>
                <w:szCs w:val="24"/>
                <w:highlight w:val="none"/>
                <w:lang w:val="en-US" w:eastAsia="zh-CN" w:bidi="ar-SA"/>
              </w:rPr>
              <w:t>质量承诺及违约责任承诺</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highlight w:val="none"/>
                <w:lang w:val="en-US" w:eastAsia="zh-CN"/>
              </w:rPr>
              <w:t>质量</w:t>
            </w:r>
            <w:r>
              <w:rPr>
                <w:rFonts w:hint="eastAsia" w:ascii="仿宋" w:hAnsi="仿宋" w:eastAsia="仿宋" w:cs="仿宋"/>
                <w:color w:val="auto"/>
                <w:sz w:val="24"/>
                <w:highlight w:val="none"/>
              </w:rPr>
              <w:t>承诺</w:t>
            </w:r>
            <w:r>
              <w:rPr>
                <w:rFonts w:hint="eastAsia" w:ascii="仿宋" w:hAnsi="仿宋" w:eastAsia="仿宋" w:cs="仿宋"/>
                <w:b w:val="0"/>
                <w:bCs w:val="0"/>
                <w:color w:val="auto"/>
                <w:highlight w:val="none"/>
                <w:lang w:val="en-US" w:eastAsia="zh-CN"/>
              </w:rPr>
              <w:t>、</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highlight w:val="none"/>
                <w:lang w:val="en-US" w:eastAsia="zh-CN"/>
              </w:rPr>
              <w:t>质量</w:t>
            </w:r>
            <w:r>
              <w:rPr>
                <w:rFonts w:hint="eastAsia" w:ascii="仿宋" w:hAnsi="仿宋" w:eastAsia="仿宋" w:cs="仿宋"/>
                <w:color w:val="auto"/>
                <w:sz w:val="24"/>
                <w:highlight w:val="none"/>
              </w:rPr>
              <w:t>保证措施</w:t>
            </w:r>
            <w:r>
              <w:rPr>
                <w:rFonts w:hint="eastAsia" w:ascii="仿宋" w:hAnsi="仿宋" w:eastAsia="仿宋" w:cs="仿宋"/>
                <w:b w:val="0"/>
                <w:bCs w:val="0"/>
                <w:color w:val="auto"/>
                <w:highlight w:val="none"/>
                <w:lang w:val="en-US" w:eastAsia="zh-CN"/>
              </w:rPr>
              <w:t>、</w:t>
            </w:r>
            <w:r>
              <w:rPr>
                <w:rFonts w:hint="eastAsia" w:ascii="仿宋" w:hAnsi="仿宋" w:eastAsia="仿宋" w:cs="仿宋"/>
                <w:color w:val="auto"/>
                <w:sz w:val="24"/>
                <w:szCs w:val="24"/>
                <w:highlight w:val="none"/>
                <w:lang w:val="en-US" w:eastAsia="zh-CN"/>
              </w:rPr>
              <w:t>③违约惩罚措施）进行综合评审：</w:t>
            </w:r>
          </w:p>
          <w:p w14:paraId="782EAF28">
            <w:pPr>
              <w:pStyle w:val="33"/>
              <w:keepNext w:val="0"/>
              <w:keepLines w:val="0"/>
              <w:pageBreakBefore w:val="0"/>
              <w:widowControl w:val="0"/>
              <w:shd w:val="clear" w:fill="FFFFFF" w:themeFill="background1"/>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以上3项方案内容全部提供，</w:t>
            </w: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sz w:val="24"/>
                <w:highlight w:val="none"/>
                <w:lang w:val="en-US" w:eastAsia="zh-CN"/>
              </w:rPr>
              <w:t>质量</w:t>
            </w:r>
            <w:r>
              <w:rPr>
                <w:rFonts w:hint="eastAsia" w:ascii="仿宋" w:hAnsi="仿宋" w:eastAsia="仿宋" w:cs="仿宋"/>
                <w:color w:val="auto"/>
                <w:sz w:val="24"/>
                <w:highlight w:val="none"/>
              </w:rPr>
              <w:t>承诺</w:t>
            </w:r>
            <w:r>
              <w:rPr>
                <w:rFonts w:hint="eastAsia" w:ascii="仿宋" w:hAnsi="仿宋" w:eastAsia="仿宋" w:cs="仿宋"/>
                <w:color w:val="auto"/>
                <w:sz w:val="24"/>
                <w:highlight w:val="none"/>
                <w:lang w:val="en-US" w:eastAsia="zh-CN"/>
              </w:rPr>
              <w:t>详细具体</w:t>
            </w:r>
            <w:r>
              <w:rPr>
                <w:rFonts w:hint="eastAsia" w:ascii="仿宋" w:hAnsi="仿宋" w:eastAsia="仿宋" w:cs="仿宋"/>
                <w:color w:val="auto"/>
                <w:sz w:val="24"/>
                <w:highlight w:val="none"/>
              </w:rPr>
              <w:t>，贴合项目实际需求</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②</w:t>
            </w:r>
            <w:r>
              <w:rPr>
                <w:rFonts w:hint="eastAsia" w:ascii="仿宋" w:hAnsi="仿宋" w:eastAsia="仿宋" w:cs="仿宋"/>
                <w:color w:val="auto"/>
                <w:sz w:val="24"/>
                <w:highlight w:val="none"/>
                <w:lang w:val="en-US" w:eastAsia="zh-CN"/>
              </w:rPr>
              <w:t>质量</w:t>
            </w:r>
            <w:r>
              <w:rPr>
                <w:rFonts w:hint="eastAsia" w:ascii="仿宋" w:hAnsi="仿宋" w:eastAsia="仿宋" w:cs="仿宋"/>
                <w:color w:val="auto"/>
                <w:sz w:val="24"/>
                <w:highlight w:val="none"/>
              </w:rPr>
              <w:t>保证措施</w:t>
            </w:r>
            <w:r>
              <w:rPr>
                <w:rFonts w:hint="eastAsia" w:ascii="仿宋" w:hAnsi="仿宋" w:eastAsia="仿宋" w:cs="仿宋"/>
                <w:color w:val="auto"/>
                <w:sz w:val="24"/>
                <w:szCs w:val="24"/>
                <w:highlight w:val="none"/>
                <w:lang w:val="en-US" w:eastAsia="zh-CN"/>
              </w:rPr>
              <w:t>有力，</w:t>
            </w:r>
            <w:r>
              <w:rPr>
                <w:rFonts w:hint="eastAsia" w:ascii="仿宋" w:hAnsi="仿宋" w:eastAsia="仿宋" w:cs="仿宋"/>
                <w:color w:val="auto"/>
                <w:kern w:val="2"/>
                <w:sz w:val="24"/>
                <w:szCs w:val="22"/>
                <w:highlight w:val="none"/>
                <w:lang w:val="en-US" w:eastAsia="zh-CN" w:bidi="ar-SA"/>
              </w:rPr>
              <w:t>处置方式完备合理</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szCs w:val="24"/>
                <w:highlight w:val="none"/>
                <w:lang w:val="en-US" w:eastAsia="zh-CN"/>
              </w:rPr>
              <w:t>③</w:t>
            </w:r>
            <w:r>
              <w:rPr>
                <w:rFonts w:hint="eastAsia" w:ascii="仿宋" w:hAnsi="仿宋" w:eastAsia="仿宋" w:cs="仿宋"/>
                <w:color w:val="auto"/>
                <w:sz w:val="24"/>
                <w:highlight w:val="none"/>
              </w:rPr>
              <w:t>有详细具体的</w:t>
            </w:r>
            <w:r>
              <w:rPr>
                <w:rFonts w:hint="eastAsia" w:ascii="仿宋" w:hAnsi="仿宋" w:eastAsia="仿宋" w:cs="仿宋"/>
                <w:color w:val="auto"/>
                <w:sz w:val="24"/>
                <w:szCs w:val="24"/>
                <w:highlight w:val="none"/>
                <w:lang w:val="en-US" w:eastAsia="zh-CN"/>
              </w:rPr>
              <w:t>违约惩罚措施，且违约处罚措施明确</w:t>
            </w:r>
            <w:r>
              <w:rPr>
                <w:rFonts w:hint="eastAsia" w:ascii="仿宋" w:hAnsi="仿宋" w:eastAsia="仿宋" w:cs="仿宋"/>
                <w:color w:val="auto"/>
                <w:sz w:val="24"/>
                <w:highlight w:val="none"/>
              </w:rPr>
              <w:t>具体可行</w:t>
            </w:r>
            <w:r>
              <w:rPr>
                <w:rFonts w:hint="eastAsia" w:ascii="仿宋" w:hAnsi="仿宋" w:eastAsia="仿宋" w:cs="仿宋"/>
                <w:b w:val="0"/>
                <w:bCs w:val="0"/>
                <w:color w:val="auto"/>
                <w:highlight w:val="none"/>
                <w:lang w:val="en-US" w:eastAsia="zh-CN"/>
              </w:rPr>
              <w:t>，没有</w:t>
            </w:r>
            <w:r>
              <w:rPr>
                <w:rFonts w:hint="eastAsia" w:ascii="仿宋" w:hAnsi="仿宋" w:eastAsia="仿宋" w:cs="仿宋"/>
                <w:color w:val="auto"/>
                <w:sz w:val="24"/>
                <w:szCs w:val="24"/>
                <w:highlight w:val="none"/>
                <w:lang w:val="en-US" w:eastAsia="zh-CN"/>
              </w:rPr>
              <w:t>内容不完整或有缺陷或与项目不匹配的得满分6分，在此基础上，以上3项内容每缺少一项内容的扣2分，每一项内容达不到上述要求，不完整或有缺陷或与项目不匹配的扣1分，每一项内容最多扣2分，分数扣完为止。</w:t>
            </w:r>
          </w:p>
          <w:p w14:paraId="37167AAD">
            <w:pPr>
              <w:pStyle w:val="8"/>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14:paraId="569D7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664" w:hRule="atLeast"/>
          <w:jc w:val="center"/>
        </w:trPr>
        <w:tc>
          <w:tcPr>
            <w:tcW w:w="906" w:type="dxa"/>
            <w:vMerge w:val="restart"/>
            <w:shd w:val="clear" w:color="auto" w:fill="FFFFFF" w:themeFill="background1"/>
            <w:vAlign w:val="center"/>
          </w:tcPr>
          <w:p w14:paraId="7748B78B">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w:t>
            </w:r>
          </w:p>
          <w:p w14:paraId="76C53B53">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部分F</w:t>
            </w:r>
            <w:r>
              <w:rPr>
                <w:rFonts w:hint="eastAsia" w:ascii="仿宋" w:hAnsi="仿宋" w:eastAsia="仿宋" w:cs="仿宋"/>
                <w:color w:val="auto"/>
                <w:sz w:val="24"/>
                <w:szCs w:val="24"/>
                <w:highlight w:val="none"/>
                <w:lang w:val="en-US" w:eastAsia="zh-CN"/>
              </w:rPr>
              <w:t>3</w:t>
            </w:r>
          </w:p>
        </w:tc>
        <w:tc>
          <w:tcPr>
            <w:tcW w:w="1286" w:type="dxa"/>
            <w:tcBorders>
              <w:top w:val="single" w:color="auto" w:sz="4" w:space="0"/>
            </w:tcBorders>
            <w:shd w:val="clear" w:color="auto" w:fill="FFFFFF" w:themeFill="background1"/>
            <w:vAlign w:val="center"/>
          </w:tcPr>
          <w:p w14:paraId="04DDD2F8">
            <w:pPr>
              <w:pStyle w:val="33"/>
              <w:keepNext w:val="0"/>
              <w:keepLines w:val="0"/>
              <w:pageBreakBefore w:val="0"/>
              <w:widowControl w:val="0"/>
              <w:shd w:val="clear" w:fill="FFFFFF" w:themeFill="background1"/>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highlight w:val="none"/>
                <w:lang w:val="en-US" w:eastAsia="zh-CN"/>
              </w:rPr>
              <w:t>1.售后服务方案（满分8分）</w:t>
            </w:r>
          </w:p>
        </w:tc>
        <w:tc>
          <w:tcPr>
            <w:tcW w:w="8013" w:type="dxa"/>
            <w:tcBorders>
              <w:top w:val="single" w:color="auto" w:sz="4" w:space="0"/>
            </w:tcBorders>
            <w:shd w:val="clear" w:color="auto" w:fill="FFFFFF" w:themeFill="background1"/>
            <w:vAlign w:val="center"/>
          </w:tcPr>
          <w:p w14:paraId="6F0D3087">
            <w:pPr>
              <w:pStyle w:val="33"/>
              <w:keepNext w:val="0"/>
              <w:keepLines w:val="0"/>
              <w:pageBreakBefore w:val="0"/>
              <w:widowControl w:val="0"/>
              <w:shd w:val="clear" w:fill="FFFFFF" w:themeFill="background1"/>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根据投标人提供的售后服务方案（①</w:t>
            </w:r>
            <w:r>
              <w:rPr>
                <w:rFonts w:hint="eastAsia" w:ascii="仿宋" w:hAnsi="仿宋" w:eastAsia="仿宋" w:cs="仿宋"/>
                <w:b w:val="0"/>
                <w:bCs w:val="0"/>
                <w:color w:val="auto"/>
                <w:highlight w:val="none"/>
                <w:lang w:val="en-US" w:eastAsia="zh-CN"/>
              </w:rPr>
              <w:t>售后服务计划及保障措施（包括售后服务响应、技术支持）、</w:t>
            </w:r>
            <w:r>
              <w:rPr>
                <w:rFonts w:hint="eastAsia" w:ascii="仿宋" w:hAnsi="仿宋" w:eastAsia="仿宋" w:cs="仿宋"/>
                <w:color w:val="auto"/>
                <w:sz w:val="24"/>
                <w:szCs w:val="24"/>
                <w:highlight w:val="none"/>
                <w:lang w:val="en-US" w:eastAsia="zh-CN"/>
              </w:rPr>
              <w:t>②</w:t>
            </w:r>
            <w:r>
              <w:rPr>
                <w:rFonts w:hint="eastAsia" w:ascii="仿宋" w:hAnsi="仿宋" w:eastAsia="仿宋" w:cs="仿宋"/>
                <w:b w:val="0"/>
                <w:bCs w:val="0"/>
                <w:color w:val="auto"/>
                <w:highlight w:val="none"/>
                <w:lang w:val="en-US" w:eastAsia="zh-CN"/>
              </w:rPr>
              <w:t>售后服务团队配置、</w:t>
            </w:r>
            <w:r>
              <w:rPr>
                <w:rFonts w:hint="eastAsia" w:ascii="仿宋" w:hAnsi="仿宋" w:eastAsia="仿宋" w:cs="仿宋"/>
                <w:color w:val="auto"/>
                <w:sz w:val="24"/>
                <w:szCs w:val="24"/>
                <w:highlight w:val="none"/>
                <w:lang w:val="en-US" w:eastAsia="zh-CN"/>
              </w:rPr>
              <w:t>③售后应急预案、④</w:t>
            </w:r>
            <w:r>
              <w:rPr>
                <w:rFonts w:hint="eastAsia" w:ascii="仿宋" w:hAnsi="仿宋" w:eastAsia="仿宋" w:cs="仿宋"/>
                <w:b w:val="0"/>
                <w:bCs w:val="0"/>
                <w:color w:val="auto"/>
                <w:highlight w:val="none"/>
                <w:lang w:val="en-US" w:eastAsia="zh-CN"/>
              </w:rPr>
              <w:t>售后服务承诺</w:t>
            </w:r>
            <w:r>
              <w:rPr>
                <w:rFonts w:hint="eastAsia" w:ascii="仿宋" w:hAnsi="仿宋" w:eastAsia="仿宋" w:cs="仿宋"/>
                <w:color w:val="auto"/>
                <w:sz w:val="24"/>
                <w:szCs w:val="24"/>
                <w:highlight w:val="none"/>
                <w:lang w:val="en-US" w:eastAsia="zh-CN"/>
              </w:rPr>
              <w:t>）进行综合评审：</w:t>
            </w:r>
          </w:p>
          <w:p w14:paraId="730F6B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4项方案内容全部提供，售后服务计划充分考虑了用户实际情况及使用需求、内容全面，保障措施得当有力、响应及时；服务团队配置搭配合理、分工明确、人员经验丰富、素质高，有稳定的售后服务团队，有固定的售后人员且售后服务人员联系方便，能够提升售后服务效率的；售后应急预案考虑全面，有具体可行的解决方案；售后服务承诺详细明确，并有合理可行的奖惩措施，没有内容不完整或有缺陷或与项目不匹配的得满分8分，在此基础上，以上4项内容每缺少一项内容的扣2分，每一项内容达不到上述要求，不完整或有缺陷或与项目不匹配的扣1分，每一项内容最多扣2分，分数扣完为止。</w:t>
            </w:r>
          </w:p>
          <w:p w14:paraId="45BBAC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14:paraId="60BA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664" w:hRule="atLeast"/>
          <w:jc w:val="center"/>
        </w:trPr>
        <w:tc>
          <w:tcPr>
            <w:tcW w:w="906" w:type="dxa"/>
            <w:vMerge w:val="continue"/>
            <w:shd w:val="clear" w:color="auto" w:fill="FFFFFF" w:themeFill="background1"/>
            <w:vAlign w:val="center"/>
          </w:tcPr>
          <w:p w14:paraId="7549C2D1">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Cs w:val="21"/>
                <w:highlight w:val="none"/>
              </w:rPr>
            </w:pPr>
          </w:p>
        </w:tc>
        <w:tc>
          <w:tcPr>
            <w:tcW w:w="1286" w:type="dxa"/>
            <w:tcBorders>
              <w:top w:val="single" w:color="auto" w:sz="4" w:space="0"/>
            </w:tcBorders>
            <w:shd w:val="clear" w:color="auto" w:fill="FFFFFF" w:themeFill="background1"/>
            <w:vAlign w:val="center"/>
          </w:tcPr>
          <w:p w14:paraId="2ED70AB2">
            <w:pPr>
              <w:pStyle w:val="8"/>
              <w:keepNext w:val="0"/>
              <w:keepLines w:val="0"/>
              <w:pageBreakBefore w:val="0"/>
              <w:widowControl w:val="0"/>
              <w:kinsoku/>
              <w:wordWrap/>
              <w:overflowPunct/>
              <w:topLinePunct w:val="0"/>
              <w:bidi w:val="0"/>
              <w:snapToGrid/>
              <w:spacing w:before="0" w:line="440" w:lineRule="exact"/>
              <w:ind w:right="0" w:rightChars="0"/>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2.仓储能力及配送车辆评审评分</w:t>
            </w:r>
          </w:p>
          <w:p w14:paraId="25D081C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（4分）</w:t>
            </w:r>
          </w:p>
        </w:tc>
        <w:tc>
          <w:tcPr>
            <w:tcW w:w="8013" w:type="dxa"/>
            <w:tcBorders>
              <w:top w:val="single" w:color="auto" w:sz="4" w:space="0"/>
            </w:tcBorders>
            <w:shd w:val="clear" w:color="auto" w:fill="FFFFFF" w:themeFill="background1"/>
            <w:vAlign w:val="center"/>
          </w:tcPr>
          <w:p w14:paraId="54789A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（1）仓储能力：投标人具备仓储能力的得1分。</w:t>
            </w:r>
          </w:p>
          <w:p w14:paraId="39DFD2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（2）投标人中药饮片仓储包含常温库、阴凉库和冷库三种库区的3分，每缺少其中一种库区的扣1分。</w:t>
            </w:r>
          </w:p>
          <w:p w14:paraId="6265789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注：仓储为企业自有的，提供相应的房产证或相关主管部门出具的证明文件复印件；租赁或委托的，应提供租赁或委托合同及房产的房产证，未提供或证明材料不齐全或不能指向投标人的，则该项不得分。</w:t>
            </w:r>
          </w:p>
        </w:tc>
      </w:tr>
      <w:tr w14:paraId="4839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06" w:type="dxa"/>
            <w:vMerge w:val="continue"/>
            <w:shd w:val="clear" w:color="auto" w:fill="FFFFFF" w:themeFill="background1"/>
            <w:vAlign w:val="center"/>
          </w:tcPr>
          <w:p w14:paraId="50CC6CB3">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Cs w:val="21"/>
                <w:highlight w:val="none"/>
              </w:rPr>
            </w:pPr>
          </w:p>
        </w:tc>
        <w:tc>
          <w:tcPr>
            <w:tcW w:w="1286" w:type="dxa"/>
            <w:tcBorders>
              <w:top w:val="single" w:color="auto" w:sz="4" w:space="0"/>
              <w:bottom w:val="single" w:color="auto" w:sz="4" w:space="0"/>
            </w:tcBorders>
            <w:shd w:val="clear" w:color="auto" w:fill="FFFFFF" w:themeFill="background1"/>
            <w:vAlign w:val="center"/>
          </w:tcPr>
          <w:p w14:paraId="39C859E1">
            <w:pPr>
              <w:pStyle w:val="8"/>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3.类似业绩（3分）</w:t>
            </w:r>
          </w:p>
        </w:tc>
        <w:tc>
          <w:tcPr>
            <w:tcW w:w="8013" w:type="dxa"/>
            <w:tcBorders>
              <w:top w:val="single" w:color="auto" w:sz="4" w:space="0"/>
              <w:bottom w:val="single" w:color="auto" w:sz="4" w:space="0"/>
            </w:tcBorders>
            <w:shd w:val="clear" w:color="auto" w:fill="FFFFFF" w:themeFill="background1"/>
            <w:vAlign w:val="top"/>
          </w:tcPr>
          <w:p w14:paraId="264373B9">
            <w:pPr>
              <w:keepNext w:val="0"/>
              <w:keepLines w:val="0"/>
              <w:pageBreakBefore w:val="0"/>
              <w:widowControl w:val="0"/>
              <w:numPr>
                <w:ilvl w:val="0"/>
                <w:numId w:val="0"/>
              </w:numPr>
              <w:kinsoku/>
              <w:wordWrap/>
              <w:overflowPunct/>
              <w:topLinePunct w:val="0"/>
              <w:bidi w:val="0"/>
              <w:adjustRightInd/>
              <w:snapToGrid/>
              <w:spacing w:line="440" w:lineRule="exact"/>
              <w:jc w:val="left"/>
              <w:textAlignment w:val="auto"/>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投标人自2022年以来签订的饮片供货业绩，每提供一个得0.5分，最高得3分。注：须同时提供合同复印件加盖投标人公章。向同一单位开具的发票不可重复计分。</w:t>
            </w:r>
          </w:p>
        </w:tc>
      </w:tr>
      <w:tr w14:paraId="26B9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664" w:hRule="atLeast"/>
          <w:jc w:val="center"/>
        </w:trPr>
        <w:tc>
          <w:tcPr>
            <w:tcW w:w="906" w:type="dxa"/>
            <w:vMerge w:val="continue"/>
            <w:shd w:val="clear" w:color="auto" w:fill="FFFFFF" w:themeFill="background1"/>
            <w:vAlign w:val="center"/>
          </w:tcPr>
          <w:p w14:paraId="3FA36120">
            <w:pPr>
              <w:keepNext w:val="0"/>
              <w:keepLines w:val="0"/>
              <w:pageBreakBefore w:val="0"/>
              <w:widowControl w:val="0"/>
              <w:shd w:val="clear" w:fill="FFFFFF" w:themeFill="background1"/>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Cs w:val="21"/>
                <w:highlight w:val="none"/>
              </w:rPr>
            </w:pPr>
          </w:p>
        </w:tc>
        <w:tc>
          <w:tcPr>
            <w:tcW w:w="1286" w:type="dxa"/>
            <w:tcBorders>
              <w:top w:val="single" w:color="auto" w:sz="4" w:space="0"/>
              <w:bottom w:val="single" w:color="auto" w:sz="4" w:space="0"/>
            </w:tcBorders>
            <w:shd w:val="clear" w:color="auto" w:fill="FFFFFF" w:themeFill="background1"/>
            <w:vAlign w:val="center"/>
          </w:tcPr>
          <w:p w14:paraId="7238CB94">
            <w:pPr>
              <w:pStyle w:val="8"/>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right="0" w:rightChars="0" w:firstLine="0" w:firstLine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4.样品评审（10分）</w:t>
            </w:r>
          </w:p>
        </w:tc>
        <w:tc>
          <w:tcPr>
            <w:tcW w:w="8013" w:type="dxa"/>
            <w:tcBorders>
              <w:top w:val="single" w:color="auto" w:sz="4" w:space="0"/>
              <w:bottom w:val="single" w:color="auto" w:sz="4" w:space="0"/>
            </w:tcBorders>
            <w:shd w:val="clear" w:color="auto" w:fill="FFFFFF" w:themeFill="background1"/>
            <w:vAlign w:val="top"/>
          </w:tcPr>
          <w:p w14:paraId="499C540A">
            <w:pPr>
              <w:keepNext w:val="0"/>
              <w:keepLines w:val="0"/>
              <w:pageBreakBefore w:val="0"/>
              <w:widowControl w:val="0"/>
              <w:numPr>
                <w:ilvl w:val="0"/>
                <w:numId w:val="0"/>
              </w:numPr>
              <w:kinsoku/>
              <w:wordWrap/>
              <w:overflowPunct/>
              <w:topLinePunct w:val="0"/>
              <w:bidi w:val="0"/>
              <w:adjustRightInd/>
              <w:snapToGrid/>
              <w:spacing w:line="440" w:lineRule="exact"/>
              <w:jc w:val="left"/>
              <w:textAlignment w:val="auto"/>
              <w:rPr>
                <w:rFonts w:hint="default"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本项目要求投标人提供50种饮片样品，评标委员会以样品的外观、气味、味道、杂质和霉变情况分3个档次进行评审。</w:t>
            </w:r>
          </w:p>
          <w:p w14:paraId="11E5F206">
            <w:pPr>
              <w:keepNext w:val="0"/>
              <w:keepLines w:val="0"/>
              <w:pageBreakBefore w:val="0"/>
              <w:widowControl w:val="0"/>
              <w:numPr>
                <w:ilvl w:val="0"/>
                <w:numId w:val="0"/>
              </w:numPr>
              <w:kinsoku/>
              <w:wordWrap/>
              <w:overflowPunct/>
              <w:topLinePunct w:val="0"/>
              <w:bidi w:val="0"/>
              <w:adjustRightInd/>
              <w:snapToGrid/>
              <w:spacing w:line="440" w:lineRule="exact"/>
              <w:jc w:val="left"/>
              <w:textAlignment w:val="auto"/>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1.饮片性状符合《中华人民共和国药典》（2020年版）等国家及云南省中药饮片质量标准等相关文件规定，颜色、大小均匀，且饮片的直径在同样的同种饮片中排列最大（包括圆片和异型片），颗粒饱满，质地坚实，断面细腻，无异常气味，质地干净，无泥沙、石块、毛发等异物得0.2分；</w:t>
            </w:r>
          </w:p>
          <w:p w14:paraId="5B14E532">
            <w:pPr>
              <w:keepNext w:val="0"/>
              <w:keepLines w:val="0"/>
              <w:pageBreakBefore w:val="0"/>
              <w:widowControl w:val="0"/>
              <w:numPr>
                <w:ilvl w:val="0"/>
                <w:numId w:val="0"/>
              </w:numPr>
              <w:kinsoku/>
              <w:wordWrap/>
              <w:overflowPunct/>
              <w:topLinePunct w:val="0"/>
              <w:bidi w:val="0"/>
              <w:adjustRightInd/>
              <w:snapToGrid/>
              <w:spacing w:line="440" w:lineRule="exact"/>
              <w:jc w:val="left"/>
              <w:textAlignment w:val="auto"/>
              <w:rPr>
                <w:rFonts w:hint="default"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2.饮片的颜色、质地、味道与第一档次有部分差距，无明显杂质的得0.1分；</w:t>
            </w:r>
          </w:p>
          <w:p w14:paraId="40F5C2C1">
            <w:pPr>
              <w:keepNext w:val="0"/>
              <w:keepLines w:val="0"/>
              <w:pageBreakBefore w:val="0"/>
              <w:widowControl w:val="0"/>
              <w:numPr>
                <w:ilvl w:val="0"/>
                <w:numId w:val="0"/>
              </w:numPr>
              <w:kinsoku/>
              <w:wordWrap/>
              <w:overflowPunct/>
              <w:topLinePunct w:val="0"/>
              <w:bidi w:val="0"/>
              <w:adjustRightInd/>
              <w:snapToGrid/>
              <w:spacing w:line="440" w:lineRule="exact"/>
              <w:jc w:val="left"/>
              <w:textAlignment w:val="auto"/>
              <w:rPr>
                <w:rFonts w:hint="default"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3.饮片的颜色暗淡，质地松软、有裂隙、断面颜色不均匀，有酸败味、腐臭味等其他异常气味或味道，有明显杂质，饮片表面有霉变、虫蛀等变质情况不得分。</w:t>
            </w:r>
          </w:p>
          <w:p w14:paraId="6DB7B84B">
            <w:pPr>
              <w:keepNext w:val="0"/>
              <w:keepLines w:val="0"/>
              <w:pageBreakBefore w:val="0"/>
              <w:widowControl w:val="0"/>
              <w:numPr>
                <w:ilvl w:val="0"/>
                <w:numId w:val="0"/>
              </w:numPr>
              <w:kinsoku/>
              <w:wordWrap/>
              <w:overflowPunct/>
              <w:topLinePunct w:val="0"/>
              <w:bidi w:val="0"/>
              <w:adjustRightInd/>
              <w:snapToGrid/>
              <w:spacing w:line="440" w:lineRule="exact"/>
              <w:jc w:val="left"/>
              <w:textAlignment w:val="auto"/>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注：50种饮片样品累计计分，每项0.2分，满分10分。</w:t>
            </w:r>
          </w:p>
        </w:tc>
      </w:tr>
    </w:tbl>
    <w:p w14:paraId="05BF86A0">
      <w:pPr>
        <w:shd w:val="clear"/>
        <w:rPr>
          <w:rFonts w:hint="eastAsia" w:ascii="仿宋" w:hAnsi="仿宋" w:eastAsia="仿宋" w:cs="仿宋"/>
          <w:color w:val="auto"/>
          <w:sz w:val="24"/>
          <w:highlight w:val="none"/>
        </w:rPr>
      </w:pPr>
    </w:p>
    <w:p w14:paraId="3558CFF0">
      <w:pPr>
        <w:rPr>
          <w:rFonts w:hint="eastAsia" w:ascii="仿宋" w:hAnsi="仿宋" w:eastAsia="仿宋" w:cs="仿宋"/>
        </w:rPr>
      </w:pPr>
      <w:r>
        <w:rPr>
          <w:rFonts w:hint="eastAsia" w:ascii="仿宋" w:hAnsi="仿宋" w:eastAsia="仿宋" w:cs="仿宋"/>
          <w:color w:val="auto"/>
          <w:sz w:val="24"/>
          <w:highlight w:val="none"/>
        </w:rPr>
        <w:br w:type="page"/>
      </w:r>
    </w:p>
    <w:bookmarkEnd w:id="679"/>
    <w:bookmarkEnd w:id="680"/>
    <w:bookmarkEnd w:id="681"/>
    <w:bookmarkEnd w:id="682"/>
    <w:p w14:paraId="1B8DEAB2">
      <w:pPr>
        <w:pStyle w:val="3"/>
        <w:shd w:val="clear"/>
        <w:spacing w:before="240" w:after="240" w:line="360" w:lineRule="auto"/>
        <w:ind w:firstLine="602"/>
        <w:outlineLvl w:val="1"/>
        <w:rPr>
          <w:rFonts w:hint="eastAsia" w:ascii="仿宋" w:hAnsi="仿宋" w:eastAsia="仿宋" w:cs="仿宋"/>
          <w:color w:val="auto"/>
          <w:sz w:val="30"/>
          <w:szCs w:val="30"/>
          <w:highlight w:val="none"/>
        </w:rPr>
      </w:pPr>
      <w:bookmarkStart w:id="683" w:name="_Toc16415"/>
      <w:bookmarkStart w:id="684" w:name="_Toc17107"/>
      <w:bookmarkStart w:id="685" w:name="_Toc2722"/>
      <w:r>
        <w:rPr>
          <w:rFonts w:hint="eastAsia" w:ascii="仿宋" w:hAnsi="仿宋" w:eastAsia="仿宋" w:cs="仿宋"/>
          <w:color w:val="auto"/>
          <w:sz w:val="30"/>
          <w:szCs w:val="30"/>
          <w:highlight w:val="none"/>
        </w:rPr>
        <w:t>一、评标方法</w:t>
      </w:r>
      <w:bookmarkEnd w:id="683"/>
      <w:bookmarkEnd w:id="684"/>
      <w:bookmarkEnd w:id="685"/>
    </w:p>
    <w:p w14:paraId="4EEF56A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中华人民共和国政府采购法实施条例</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政府采购货物和服务招投标管理办法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财政部令87号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》等有关规定等有关法律法规，结合本项目实际情况制定本办法。</w:t>
      </w:r>
    </w:p>
    <w:p w14:paraId="65346E8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本次采购所采用的评标方法为“综合评分法”，</w:t>
      </w:r>
      <w:r>
        <w:rPr>
          <w:rFonts w:hint="eastAsia" w:ascii="仿宋" w:hAnsi="仿宋" w:eastAsia="仿宋" w:cs="仿宋"/>
          <w:color w:val="auto"/>
          <w:sz w:val="24"/>
          <w:szCs w:val="22"/>
          <w:highlight w:val="none"/>
          <w:lang w:val="en-US" w:eastAsia="zh-CN"/>
        </w:rPr>
        <w:t>即</w:t>
      </w:r>
      <w:r>
        <w:rPr>
          <w:rFonts w:hint="eastAsia" w:ascii="仿宋" w:hAnsi="仿宋" w:eastAsia="仿宋" w:cs="仿宋"/>
          <w:color w:val="auto"/>
          <w:sz w:val="24"/>
          <w:szCs w:val="22"/>
          <w:highlight w:val="none"/>
        </w:rPr>
        <w:t>投标文件满足招标文件全部实质性要求，且按照评审因素的量化指标评审得分最高的投标人为中标候选人的评标方法。</w:t>
      </w:r>
    </w:p>
    <w:p w14:paraId="648E15AD">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bookmarkStart w:id="686" w:name="_Toc364392660"/>
      <w:bookmarkStart w:id="687" w:name="_Toc391301904"/>
      <w:bookmarkStart w:id="688" w:name="_Toc396313203"/>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关于中小企业</w:t>
      </w:r>
    </w:p>
    <w:p w14:paraId="5CA9BDB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.1根据《政府采购促进中小企业发展管理办法》（财库〔20</w:t>
      </w:r>
      <w:r>
        <w:rPr>
          <w:rFonts w:hint="eastAsia" w:ascii="仿宋" w:hAnsi="仿宋" w:eastAsia="仿宋" w:cs="仿宋"/>
          <w:color w:val="auto"/>
          <w:sz w:val="24"/>
          <w:szCs w:val="22"/>
          <w:highlight w:val="none"/>
          <w:lang w:val="en-US" w:eastAsia="zh-CN"/>
        </w:rPr>
        <w:t>20</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46</w:t>
      </w:r>
      <w:r>
        <w:rPr>
          <w:rFonts w:hint="eastAsia" w:ascii="仿宋" w:hAnsi="仿宋" w:eastAsia="仿宋" w:cs="仿宋"/>
          <w:color w:val="auto"/>
          <w:sz w:val="24"/>
          <w:szCs w:val="22"/>
          <w:highlight w:val="none"/>
        </w:rPr>
        <w:t>号）</w:t>
      </w:r>
      <w:r>
        <w:rPr>
          <w:rFonts w:hint="eastAsia" w:ascii="仿宋" w:hAnsi="仿宋" w:eastAsia="仿宋" w:cs="仿宋"/>
          <w:color w:val="auto"/>
          <w:sz w:val="24"/>
          <w:szCs w:val="22"/>
          <w:highlight w:val="none"/>
          <w:lang w:val="en-US" w:eastAsia="zh-CN"/>
        </w:rPr>
        <w:t>规定，</w:t>
      </w:r>
      <w:r>
        <w:rPr>
          <w:rFonts w:hint="eastAsia" w:ascii="仿宋" w:hAnsi="仿宋" w:eastAsia="仿宋" w:cs="仿宋"/>
          <w:color w:val="auto"/>
          <w:sz w:val="24"/>
          <w:szCs w:val="22"/>
          <w:highlight w:val="none"/>
        </w:rPr>
        <w:t>在政府采购活动中，</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提供</w:t>
      </w:r>
      <w:r>
        <w:rPr>
          <w:rFonts w:hint="eastAsia" w:ascii="仿宋" w:hAnsi="仿宋" w:eastAsia="仿宋" w:cs="仿宋"/>
          <w:color w:val="auto"/>
          <w:sz w:val="24"/>
          <w:szCs w:val="22"/>
          <w:highlight w:val="none"/>
          <w:lang w:val="en-US" w:eastAsia="zh-CN"/>
        </w:rPr>
        <w:t>的货物</w:t>
      </w:r>
      <w:r>
        <w:rPr>
          <w:rFonts w:hint="eastAsia" w:ascii="仿宋" w:hAnsi="仿宋" w:eastAsia="仿宋" w:cs="仿宋"/>
          <w:color w:val="auto"/>
          <w:sz w:val="24"/>
          <w:szCs w:val="22"/>
          <w:highlight w:val="none"/>
        </w:rPr>
        <w:t>符合下列情形的，享受中小企业扶持政策：</w:t>
      </w:r>
    </w:p>
    <w:p w14:paraId="3554922C">
      <w:pPr>
        <w:shd w:val="clear"/>
        <w:spacing w:line="360" w:lineRule="auto"/>
        <w:ind w:firstLine="480" w:firstLineChars="200"/>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在货物采购项目中，货物由中小企业制造，即货物由中小企业生产且使用该中小企业商号或者注册商标</w:t>
      </w:r>
      <w:r>
        <w:rPr>
          <w:rFonts w:hint="eastAsia" w:ascii="仿宋" w:hAnsi="仿宋" w:eastAsia="仿宋" w:cs="仿宋"/>
          <w:color w:val="auto"/>
          <w:sz w:val="24"/>
          <w:szCs w:val="22"/>
          <w:highlight w:val="none"/>
          <w:lang w:eastAsia="zh-CN"/>
        </w:rPr>
        <w:t>。</w:t>
      </w:r>
    </w:p>
    <w:p w14:paraId="64C9A718">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在货物采购项目中，</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提供的货物既有中小企业制造货物，也有大型企业制造货物的，不享受本办法规定的中小企业扶持政策。</w:t>
      </w:r>
    </w:p>
    <w:p w14:paraId="6D2D5EF9">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以联合体形式参加政府采购活动，联合体各方均为中小企业的，联合体视同中小企业。其中，联合体各方均为小微企业的，联合体视同小微企业。</w:t>
      </w:r>
    </w:p>
    <w:p w14:paraId="2F3F36D9">
      <w:pPr>
        <w:shd w:val="clear"/>
        <w:spacing w:line="360" w:lineRule="auto"/>
        <w:ind w:firstLine="480" w:firstLineChars="200"/>
        <w:rPr>
          <w:rFonts w:hint="eastAsia" w:ascii="仿宋" w:hAnsi="仿宋" w:eastAsia="仿宋" w:cs="仿宋"/>
          <w:b/>
          <w:bCs/>
          <w:color w:val="auto"/>
          <w:sz w:val="24"/>
          <w:szCs w:val="22"/>
          <w:highlight w:val="none"/>
          <w:lang w:eastAsia="zh-CN"/>
        </w:rPr>
      </w:pPr>
      <w:r>
        <w:rPr>
          <w:rFonts w:hint="eastAsia" w:ascii="仿宋" w:hAnsi="仿宋" w:eastAsia="仿宋" w:cs="仿宋"/>
          <w:color w:val="auto"/>
          <w:sz w:val="24"/>
          <w:szCs w:val="22"/>
          <w:highlight w:val="none"/>
          <w:lang w:val="en-US" w:eastAsia="zh-CN"/>
        </w:rPr>
        <w:t>1.1.2</w:t>
      </w:r>
      <w:r>
        <w:rPr>
          <w:rFonts w:hint="eastAsia" w:ascii="仿宋" w:hAnsi="仿宋" w:eastAsia="仿宋" w:cs="仿宋"/>
          <w:color w:val="auto"/>
          <w:sz w:val="24"/>
          <w:szCs w:val="22"/>
          <w:highlight w:val="none"/>
        </w:rPr>
        <w:t>中小企业参加政府采购活动，中小企业应当按照《政府采购促进中小企业发展管理办法》（财库〔20</w:t>
      </w:r>
      <w:r>
        <w:rPr>
          <w:rFonts w:hint="eastAsia" w:ascii="仿宋" w:hAnsi="仿宋" w:eastAsia="仿宋" w:cs="仿宋"/>
          <w:color w:val="auto"/>
          <w:sz w:val="24"/>
          <w:szCs w:val="22"/>
          <w:highlight w:val="none"/>
          <w:lang w:val="en-US" w:eastAsia="zh-CN"/>
        </w:rPr>
        <w:t>20</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46</w:t>
      </w:r>
      <w:r>
        <w:rPr>
          <w:rFonts w:hint="eastAsia" w:ascii="仿宋" w:hAnsi="仿宋" w:eastAsia="仿宋" w:cs="仿宋"/>
          <w:color w:val="auto"/>
          <w:sz w:val="24"/>
          <w:szCs w:val="22"/>
          <w:highlight w:val="none"/>
        </w:rPr>
        <w:t>号）规定和《中小企业划型标准规定》（工信部联企业〔2011〕300号），如实填写并提交《中小企业声明函》</w:t>
      </w:r>
      <w:r>
        <w:rPr>
          <w:rFonts w:hint="eastAsia" w:ascii="仿宋" w:hAnsi="仿宋" w:eastAsia="仿宋" w:cs="仿宋"/>
          <w:color w:val="auto"/>
          <w:sz w:val="24"/>
          <w:szCs w:val="22"/>
          <w:highlight w:val="none"/>
          <w:lang w:eastAsia="zh-CN"/>
        </w:rPr>
        <w:t>。</w:t>
      </w:r>
      <w:r>
        <w:rPr>
          <w:rFonts w:hint="eastAsia" w:ascii="仿宋" w:hAnsi="仿宋" w:eastAsia="仿宋" w:cs="仿宋"/>
          <w:b/>
          <w:bCs/>
          <w:color w:val="auto"/>
          <w:sz w:val="24"/>
          <w:szCs w:val="22"/>
          <w:highlight w:val="none"/>
          <w:lang w:eastAsia="zh-CN"/>
        </w:rPr>
        <w:t>中小企业对其声明内容的真实性负责，声明函内容不实的，属于提供虚假材料谋取中标、成交，依照《中华人民共和国政府采购法》等国家有关规定追究相应责任。</w:t>
      </w:r>
    </w:p>
    <w:p w14:paraId="1CDBAE2C">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1.1.3针对</w:t>
      </w:r>
      <w:r>
        <w:rPr>
          <w:rFonts w:hint="eastAsia" w:ascii="仿宋" w:hAnsi="仿宋" w:eastAsia="仿宋" w:cs="仿宋"/>
          <w:color w:val="auto"/>
          <w:sz w:val="24"/>
          <w:szCs w:val="22"/>
          <w:highlight w:val="none"/>
        </w:rPr>
        <w:t>未预留份额专门面向中小企业采购的采购项目，以及预留份额项目中的非预留部分采购包，</w:t>
      </w:r>
      <w:r>
        <w:rPr>
          <w:rFonts w:hint="eastAsia" w:ascii="仿宋" w:hAnsi="仿宋" w:eastAsia="仿宋" w:cs="仿宋"/>
          <w:color w:val="auto"/>
          <w:sz w:val="24"/>
          <w:szCs w:val="22"/>
          <w:highlight w:val="none"/>
          <w:lang w:eastAsia="zh-CN"/>
        </w:rPr>
        <w:t>招标人</w:t>
      </w:r>
      <w:r>
        <w:rPr>
          <w:rFonts w:hint="eastAsia" w:ascii="仿宋" w:hAnsi="仿宋" w:eastAsia="仿宋" w:cs="仿宋"/>
          <w:color w:val="auto"/>
          <w:sz w:val="24"/>
          <w:szCs w:val="22"/>
          <w:highlight w:val="none"/>
        </w:rPr>
        <w:t>、采购代理机构应当对符合本办法规定的小微企业报价给予6%</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10%的扣除，用扣除后的价格参加评审。</w:t>
      </w:r>
    </w:p>
    <w:p w14:paraId="4CEE90FF">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1.1.4</w:t>
      </w:r>
      <w:r>
        <w:rPr>
          <w:rFonts w:hint="eastAsia" w:ascii="仿宋" w:hAnsi="仿宋" w:eastAsia="仿宋" w:cs="仿宋"/>
          <w:color w:val="auto"/>
          <w:sz w:val="24"/>
          <w:szCs w:val="22"/>
          <w:highlight w:val="none"/>
        </w:rPr>
        <w:t>根据《关于进一步加大政府采购支持中小企业力度的通知》财库〔2022〕19</w:t>
      </w:r>
      <w:r>
        <w:rPr>
          <w:rFonts w:hint="eastAsia" w:ascii="仿宋" w:hAnsi="仿宋" w:eastAsia="仿宋" w:cs="仿宋"/>
          <w:color w:val="auto"/>
          <w:sz w:val="24"/>
          <w:szCs w:val="22"/>
          <w:highlight w:val="none"/>
          <w:lang w:val="en-US" w:eastAsia="zh-CN"/>
        </w:rPr>
        <w:t>规定</w:t>
      </w:r>
      <w:r>
        <w:rPr>
          <w:rFonts w:hint="eastAsia" w:ascii="仿宋" w:hAnsi="仿宋" w:eastAsia="仿宋" w:cs="仿宋"/>
          <w:color w:val="auto"/>
          <w:sz w:val="24"/>
          <w:szCs w:val="22"/>
          <w:highlight w:val="none"/>
        </w:rPr>
        <w:t>，调整对小微企业的价格评审优惠幅度。货物采购项目给予小微企业的价格扣除优惠，由财库〔2020〕46号文件规定的6%</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10%提高至10%</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20%。</w:t>
      </w:r>
    </w:p>
    <w:p w14:paraId="03455D65">
      <w:pPr>
        <w:shd w:val="clear"/>
        <w:spacing w:line="360" w:lineRule="auto"/>
        <w:ind w:firstLine="482" w:firstLineChars="200"/>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注：（1）</w:t>
      </w:r>
      <w:r>
        <w:rPr>
          <w:rFonts w:hint="eastAsia" w:ascii="仿宋" w:hAnsi="仿宋" w:eastAsia="仿宋" w:cs="仿宋"/>
          <w:b/>
          <w:bCs/>
          <w:color w:val="auto"/>
          <w:sz w:val="24"/>
          <w:szCs w:val="22"/>
          <w:highlight w:val="none"/>
        </w:rPr>
        <w:t>本项目预留份额</w:t>
      </w:r>
      <w:r>
        <w:rPr>
          <w:rFonts w:hint="eastAsia" w:ascii="仿宋" w:hAnsi="仿宋" w:eastAsia="仿宋" w:cs="仿宋"/>
          <w:b/>
          <w:bCs/>
          <w:color w:val="auto"/>
          <w:sz w:val="24"/>
          <w:szCs w:val="22"/>
          <w:highlight w:val="none"/>
          <w:lang w:val="en-US" w:eastAsia="zh-CN"/>
        </w:rPr>
        <w:t>详见“第一章  招标公告”“2.落实政府采购政策需满足的资格要求”</w:t>
      </w:r>
      <w:r>
        <w:rPr>
          <w:rFonts w:hint="eastAsia" w:ascii="仿宋" w:hAnsi="仿宋" w:eastAsia="仿宋" w:cs="仿宋"/>
          <w:b/>
          <w:bCs/>
          <w:color w:val="auto"/>
          <w:sz w:val="24"/>
          <w:szCs w:val="22"/>
          <w:highlight w:val="none"/>
        </w:rPr>
        <w:t>。</w:t>
      </w:r>
    </w:p>
    <w:p w14:paraId="057ABE73">
      <w:pPr>
        <w:shd w:val="clear"/>
        <w:spacing w:line="360" w:lineRule="auto"/>
        <w:ind w:firstLine="482" w:firstLineChars="200"/>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2</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rPr>
        <w:t>价格扣除优惠幅度以评标办法中明确为准</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若项目已预留份额即专门面向中小微企业、监狱企业及残疾人福利性单位采购项目，则对预留份额无价格优惠幅度</w:t>
      </w:r>
      <w:r>
        <w:rPr>
          <w:rFonts w:hint="eastAsia" w:ascii="仿宋" w:hAnsi="仿宋" w:eastAsia="仿宋" w:cs="仿宋"/>
          <w:b/>
          <w:bCs/>
          <w:color w:val="auto"/>
          <w:sz w:val="24"/>
          <w:szCs w:val="22"/>
          <w:highlight w:val="none"/>
          <w:lang w:eastAsia="zh-CN"/>
        </w:rPr>
        <w:t>）</w:t>
      </w:r>
    </w:p>
    <w:p w14:paraId="7853849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.4依据规定享受扶持政策获得政府采购合同</w:t>
      </w:r>
      <w:r>
        <w:rPr>
          <w:rFonts w:hint="eastAsia" w:ascii="仿宋" w:hAnsi="仿宋" w:eastAsia="仿宋" w:cs="仿宋"/>
          <w:color w:val="auto"/>
          <w:sz w:val="24"/>
          <w:highlight w:val="none"/>
        </w:rPr>
        <w:t>的，小微企业不得将合同分包给大中型企业，中型企业不得将合同分包给大型企业。</w:t>
      </w:r>
    </w:p>
    <w:p w14:paraId="328B17A7">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1.1.5本项目政府采购合同不允许分包。</w:t>
      </w:r>
    </w:p>
    <w:p w14:paraId="04340E4D">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关于监狱企业</w:t>
      </w:r>
    </w:p>
    <w:p w14:paraId="067DE298">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.1根据财政部《司法部关于政府采购支持监狱企业发展有关问题》的通知（财库〔2014〕68号）</w:t>
      </w:r>
      <w:r>
        <w:rPr>
          <w:rFonts w:hint="eastAsia" w:ascii="仿宋" w:hAnsi="仿宋" w:eastAsia="仿宋" w:cs="仿宋"/>
          <w:color w:val="auto"/>
          <w:sz w:val="24"/>
          <w:szCs w:val="22"/>
          <w:highlight w:val="none"/>
          <w:lang w:val="en-US" w:eastAsia="zh-CN"/>
        </w:rPr>
        <w:t>规定</w:t>
      </w:r>
      <w:r>
        <w:rPr>
          <w:rFonts w:hint="eastAsia" w:ascii="仿宋" w:hAnsi="仿宋" w:eastAsia="仿宋" w:cs="仿宋"/>
          <w:color w:val="auto"/>
          <w:sz w:val="24"/>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F8C3715">
      <w:pPr>
        <w:shd w:val="clear"/>
        <w:spacing w:line="360" w:lineRule="auto"/>
        <w:ind w:firstLine="480" w:firstLineChars="200"/>
        <w:rPr>
          <w:rFonts w:hint="eastAsia" w:ascii="仿宋" w:hAnsi="仿宋" w:eastAsia="仿宋" w:cs="仿宋"/>
          <w:lang w:val="en-US" w:eastAsia="zh-CN"/>
        </w:rPr>
      </w:pPr>
      <w:r>
        <w:rPr>
          <w:rFonts w:hint="eastAsia" w:ascii="仿宋" w:hAnsi="仿宋" w:eastAsia="仿宋" w:cs="仿宋"/>
          <w:color w:val="auto"/>
          <w:sz w:val="24"/>
          <w:szCs w:val="22"/>
          <w:highlight w:val="none"/>
          <w:lang w:val="en-US" w:eastAsia="zh-CN"/>
        </w:rPr>
        <w:t>1.2.2在政府采购活动中，监狱企业视同小型、微型企业，享受预留份额、评审中价格扣除等政府采购促进中小企业发展的政府采购政策。</w:t>
      </w:r>
    </w:p>
    <w:p w14:paraId="09C91B25">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关于残疾人福利性单位</w:t>
      </w:r>
    </w:p>
    <w:p w14:paraId="5659D0CA">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.1根据《三部门联合发布关于促进残疾人就业政府采购政策的通知》（财库〔2017〕141号）的规定，享受政府采购支持政策的残疾人福利性单位应当同时满足以下条件：</w:t>
      </w:r>
    </w:p>
    <w:p w14:paraId="40630B71">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（一）安置的残疾人占本单位在职职工人数的比例不低于25%（含25%），并且安置的残疾人人数不少于10人（含10人）；</w:t>
      </w:r>
    </w:p>
    <w:p w14:paraId="0F241B2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（二）依法与安置的每位残疾人签订了一年以上（含一年）的劳动合同或服务协议；</w:t>
      </w:r>
    </w:p>
    <w:p w14:paraId="4982EFCD">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（三）为安置的每位残疾人按月足额缴纳了基本养老保险、基本医疗保险、失业保险、工伤保险和生育保险等社会保险费；</w:t>
      </w:r>
    </w:p>
    <w:p w14:paraId="475F7D14">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（四）通过银行等金融机构向安置的每位残疾人，按月支付了不低于单位所在区县适用的经省级人民政府批准的月最低工资标准的工资；</w:t>
      </w:r>
    </w:p>
    <w:p w14:paraId="7657B8F7">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（五）提供本单位制造的货物、承担的工程或者服务（以下简称产品），或者提供其他残疾人福利性单位制造的货物（不包括使用非残疾人福利性单位注册商标的货物）。</w:t>
      </w:r>
    </w:p>
    <w:p w14:paraId="50FC753C">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52B838">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2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0AA1DA9">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bookmarkStart w:id="689" w:name="_Toc26783948"/>
      <w:bookmarkStart w:id="690" w:name="_Toc9454"/>
      <w:r>
        <w:rPr>
          <w:rFonts w:hint="eastAsia" w:ascii="仿宋" w:hAnsi="仿宋" w:eastAsia="仿宋" w:cs="仿宋"/>
          <w:b/>
          <w:bCs/>
          <w:sz w:val="28"/>
          <w:szCs w:val="28"/>
          <w:lang w:val="en-US" w:eastAsia="zh-CN"/>
        </w:rPr>
        <w:t>1.4</w:t>
      </w:r>
      <w:r>
        <w:rPr>
          <w:rFonts w:hint="eastAsia" w:ascii="仿宋" w:hAnsi="仿宋" w:eastAsia="仿宋" w:cs="仿宋"/>
          <w:b/>
          <w:bCs/>
          <w:sz w:val="28"/>
          <w:szCs w:val="28"/>
        </w:rPr>
        <w:t>关于节能产品及环境标志产品</w:t>
      </w:r>
      <w:bookmarkEnd w:id="689"/>
      <w:bookmarkEnd w:id="690"/>
    </w:p>
    <w:p w14:paraId="0B4392A6">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1.4.1</w:t>
      </w:r>
      <w:r>
        <w:rPr>
          <w:rFonts w:hint="eastAsia" w:ascii="仿宋" w:hAnsi="仿宋" w:eastAsia="仿宋" w:cs="仿宋"/>
          <w:color w:val="auto"/>
          <w:sz w:val="24"/>
          <w:szCs w:val="22"/>
          <w:highlight w:val="none"/>
        </w:rPr>
        <w:t>根据《财政部 发展改革委 生态环境部 市场监管总局 关于调整优化节能产品、环境标志产品政府采购执行机制的通知》（财库〔2019〕9号），对政府采购节能产品、环境标志产品实施品目清单管理。</w:t>
      </w:r>
    </w:p>
    <w:p w14:paraId="79F92EAB">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1.4</w:t>
      </w:r>
      <w:r>
        <w:rPr>
          <w:rFonts w:hint="eastAsia" w:ascii="仿宋" w:hAnsi="仿宋" w:eastAsia="仿宋" w:cs="仿宋"/>
          <w:color w:val="auto"/>
          <w:sz w:val="24"/>
          <w:szCs w:val="22"/>
          <w:highlight w:val="none"/>
        </w:rPr>
        <w:t>.2节能产品是指列入财政部和发展改革委公布的《关于印发节能产品政府采购品目清单的通知》（财库〔2019〕19号）《节能产品政府采购品目清单》中的产品，其中以“★”标注的为政府强制采购产品。</w:t>
      </w:r>
    </w:p>
    <w:p w14:paraId="2D88529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1.4</w:t>
      </w:r>
      <w:r>
        <w:rPr>
          <w:rFonts w:hint="eastAsia" w:ascii="仿宋" w:hAnsi="仿宋" w:eastAsia="仿宋" w:cs="仿宋"/>
          <w:color w:val="auto"/>
          <w:sz w:val="24"/>
          <w:szCs w:val="22"/>
          <w:highlight w:val="none"/>
        </w:rPr>
        <w:t>.3环境标志产品是指列入财政部和生态环境部公布的《关于印发环境标志产品政府采购品目清单的通知》（财库〔2019〕18号）《环境标志产品政府采购品目清单》中的产品。</w:t>
      </w:r>
    </w:p>
    <w:p w14:paraId="5ADC6242">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1.4</w:t>
      </w:r>
      <w:r>
        <w:rPr>
          <w:rFonts w:hint="eastAsia" w:ascii="仿宋" w:hAnsi="仿宋" w:eastAsia="仿宋" w:cs="仿宋"/>
          <w:color w:val="auto"/>
          <w:sz w:val="24"/>
          <w:szCs w:val="22"/>
          <w:highlight w:val="none"/>
        </w:rPr>
        <w:t>.4产品属于节能产品或环境标志产品的，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需在投标文件中提供产品经国家确定的参与实施政府采购节能产品认证机构或参与实施政府采购环境标志产品认证机构出具的、处于有效期之内的节能产品、环境标志产品认证证书，</w:t>
      </w:r>
      <w:r>
        <w:rPr>
          <w:rFonts w:hint="eastAsia" w:ascii="仿宋" w:hAnsi="仿宋" w:eastAsia="仿宋" w:cs="仿宋"/>
          <w:color w:val="auto"/>
          <w:sz w:val="24"/>
          <w:szCs w:val="22"/>
          <w:highlight w:val="none"/>
          <w:lang w:eastAsia="zh-CN"/>
        </w:rPr>
        <w:t>招标人</w:t>
      </w:r>
      <w:r>
        <w:rPr>
          <w:rFonts w:hint="eastAsia" w:ascii="仿宋" w:hAnsi="仿宋" w:eastAsia="仿宋" w:cs="仿宋"/>
          <w:color w:val="auto"/>
          <w:sz w:val="24"/>
          <w:szCs w:val="22"/>
          <w:highlight w:val="none"/>
        </w:rPr>
        <w:t>及采购代理机构将对获得证书的产品实施政府优先采购或强制采购。</w:t>
      </w:r>
    </w:p>
    <w:p w14:paraId="2E9CF45B">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1.4</w:t>
      </w:r>
      <w:r>
        <w:rPr>
          <w:rFonts w:hint="eastAsia" w:ascii="仿宋" w:hAnsi="仿宋" w:eastAsia="仿宋" w:cs="仿宋"/>
          <w:color w:val="auto"/>
          <w:sz w:val="24"/>
          <w:szCs w:val="22"/>
          <w:highlight w:val="none"/>
        </w:rPr>
        <w:t>.5若</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在投标文件中未提供或未按要求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自行承担。</w:t>
      </w:r>
    </w:p>
    <w:bookmarkEnd w:id="686"/>
    <w:bookmarkEnd w:id="687"/>
    <w:bookmarkEnd w:id="688"/>
    <w:p w14:paraId="3BDEAE22">
      <w:pPr>
        <w:pStyle w:val="3"/>
        <w:shd w:val="clear"/>
        <w:spacing w:before="240" w:after="240" w:line="360" w:lineRule="auto"/>
        <w:ind w:firstLine="602"/>
        <w:jc w:val="center"/>
        <w:outlineLvl w:val="1"/>
        <w:rPr>
          <w:rFonts w:hint="eastAsia" w:ascii="仿宋" w:hAnsi="仿宋" w:eastAsia="仿宋" w:cs="仿宋"/>
          <w:color w:val="auto"/>
          <w:sz w:val="30"/>
          <w:szCs w:val="30"/>
          <w:highlight w:val="none"/>
        </w:rPr>
      </w:pPr>
      <w:bookmarkStart w:id="691" w:name="_Toc391301905"/>
      <w:bookmarkStart w:id="692" w:name="_Toc364392661"/>
      <w:bookmarkStart w:id="693" w:name="_Toc54878357"/>
      <w:bookmarkStart w:id="694" w:name="_Toc217"/>
      <w:bookmarkStart w:id="695" w:name="_Toc21613"/>
      <w:bookmarkStart w:id="696" w:name="_Toc396313204"/>
      <w:bookmarkStart w:id="697" w:name="_Toc24155"/>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、评标原则</w:t>
      </w:r>
      <w:bookmarkEnd w:id="691"/>
      <w:bookmarkEnd w:id="692"/>
      <w:bookmarkEnd w:id="693"/>
      <w:bookmarkEnd w:id="694"/>
      <w:bookmarkEnd w:id="695"/>
      <w:bookmarkEnd w:id="696"/>
      <w:bookmarkEnd w:id="697"/>
    </w:p>
    <w:p w14:paraId="229005B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.1评标遵循“公平、公正、科学、择优、保密”的原则。</w:t>
      </w:r>
    </w:p>
    <w:p w14:paraId="26104FA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.2只对有效投标文件进行评审，投标文件以外的资料信息不作为评标的依据和参考。</w:t>
      </w:r>
    </w:p>
    <w:p w14:paraId="703DB0B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.3询标只针对投标文件中的疑问和问题，投标人澄清问题不允许超出要求的范围或修改投标文件的实质性内容。</w:t>
      </w:r>
    </w:p>
    <w:p w14:paraId="61874CB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.4评标委员会专家对所有投标文件一一进行独立审核和评价，客观公正</w:t>
      </w:r>
      <w:r>
        <w:rPr>
          <w:rFonts w:hint="eastAsia" w:ascii="仿宋" w:hAnsi="仿宋" w:eastAsia="仿宋" w:cs="仿宋"/>
          <w:color w:val="auto"/>
          <w:sz w:val="24"/>
          <w:highlight w:val="none"/>
          <w:lang w:eastAsia="zh-CN"/>
        </w:rPr>
        <w:t>地</w:t>
      </w:r>
      <w:r>
        <w:rPr>
          <w:rFonts w:hint="eastAsia" w:ascii="仿宋" w:hAnsi="仿宋" w:eastAsia="仿宋" w:cs="仿宋"/>
          <w:color w:val="auto"/>
          <w:sz w:val="24"/>
          <w:highlight w:val="none"/>
        </w:rPr>
        <w:t>对每个投标文件进行独立打分。</w:t>
      </w:r>
    </w:p>
    <w:p w14:paraId="1C6A4657">
      <w:pPr>
        <w:pStyle w:val="3"/>
        <w:shd w:val="clear"/>
        <w:spacing w:before="240" w:after="240" w:line="360" w:lineRule="auto"/>
        <w:ind w:firstLine="602"/>
        <w:jc w:val="center"/>
        <w:outlineLvl w:val="1"/>
        <w:rPr>
          <w:rFonts w:hint="eastAsia" w:ascii="仿宋" w:hAnsi="仿宋" w:eastAsia="仿宋" w:cs="仿宋"/>
          <w:color w:val="auto"/>
          <w:sz w:val="30"/>
          <w:szCs w:val="30"/>
          <w:highlight w:val="none"/>
        </w:rPr>
      </w:pPr>
      <w:bookmarkStart w:id="698" w:name="_Toc18409"/>
      <w:bookmarkStart w:id="699" w:name="_Toc364392662"/>
      <w:bookmarkStart w:id="700" w:name="_Toc8335"/>
      <w:bookmarkStart w:id="701" w:name="_Toc391301906"/>
      <w:bookmarkStart w:id="702" w:name="_Toc14606"/>
      <w:bookmarkStart w:id="703" w:name="_Toc396313205"/>
      <w:bookmarkStart w:id="704" w:name="_Toc54878358"/>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、评标纪律</w:t>
      </w:r>
      <w:bookmarkEnd w:id="698"/>
      <w:bookmarkEnd w:id="699"/>
      <w:bookmarkEnd w:id="700"/>
      <w:bookmarkEnd w:id="701"/>
      <w:bookmarkEnd w:id="702"/>
      <w:bookmarkEnd w:id="703"/>
      <w:bookmarkEnd w:id="704"/>
    </w:p>
    <w:p w14:paraId="0C9EB3F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.1评标委员会的成员应严格自律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自觉接受有关部门的监督。</w:t>
      </w:r>
    </w:p>
    <w:p w14:paraId="0A458A6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.2评标过程中，评标委员会成员不得擅离职守，影响评标程序正常进行。</w:t>
      </w:r>
    </w:p>
    <w:p w14:paraId="4925A2D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.3评标委员会的成员不得与投标人、其他利害关系人私下接触，不得向投标人、其他利害关系人泄露对投标文件的评审、比较、中标候选人的推荐以及与评标有关</w:t>
      </w:r>
      <w:r>
        <w:rPr>
          <w:rFonts w:hint="eastAsia" w:ascii="仿宋" w:hAnsi="仿宋" w:eastAsia="仿宋" w:cs="仿宋"/>
          <w:color w:val="auto"/>
          <w:sz w:val="24"/>
          <w:highlight w:val="none"/>
          <w:lang w:eastAsia="zh-CN"/>
        </w:rPr>
        <w:t>的其他</w:t>
      </w:r>
      <w:r>
        <w:rPr>
          <w:rFonts w:hint="eastAsia" w:ascii="仿宋" w:hAnsi="仿宋" w:eastAsia="仿宋" w:cs="仿宋"/>
          <w:color w:val="auto"/>
          <w:sz w:val="24"/>
          <w:highlight w:val="none"/>
        </w:rPr>
        <w:t>情况。</w:t>
      </w:r>
    </w:p>
    <w:p w14:paraId="131E884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.4评标委员会如有需询问、澄清的问题由专职联络员负责联系负责转告。</w:t>
      </w:r>
    </w:p>
    <w:p w14:paraId="5645A05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.5不允许任何人把投标文件及其汇总材料带出评标会场（已经公开的价格等资料除外），所有资料不得复制，完成评标后所有材料如数交还。</w:t>
      </w:r>
    </w:p>
    <w:p w14:paraId="0B988C9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.6违反上述规定对评标造成不良影响的，后果由责任者承担。</w:t>
      </w:r>
    </w:p>
    <w:p w14:paraId="27A568FC">
      <w:pPr>
        <w:pStyle w:val="3"/>
        <w:shd w:val="clear"/>
        <w:spacing w:before="240" w:after="240" w:line="360" w:lineRule="auto"/>
        <w:ind w:firstLine="602"/>
        <w:jc w:val="center"/>
        <w:outlineLvl w:val="1"/>
        <w:rPr>
          <w:rFonts w:hint="eastAsia" w:ascii="仿宋" w:hAnsi="仿宋" w:eastAsia="仿宋" w:cs="仿宋"/>
          <w:color w:val="auto"/>
          <w:sz w:val="30"/>
          <w:szCs w:val="30"/>
          <w:highlight w:val="none"/>
        </w:rPr>
      </w:pPr>
      <w:bookmarkStart w:id="705" w:name="_Toc364392664"/>
      <w:bookmarkStart w:id="706" w:name="_Toc396313207"/>
      <w:bookmarkStart w:id="707" w:name="_Toc391301908"/>
      <w:bookmarkStart w:id="708" w:name="_Toc54878360"/>
      <w:bookmarkStart w:id="709" w:name="_Toc11759"/>
      <w:bookmarkStart w:id="710" w:name="_Toc4219"/>
      <w:bookmarkStart w:id="711" w:name="_Toc22556"/>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rPr>
        <w:t>、评标程序</w:t>
      </w:r>
      <w:bookmarkEnd w:id="705"/>
      <w:bookmarkEnd w:id="706"/>
      <w:bookmarkEnd w:id="707"/>
      <w:bookmarkEnd w:id="708"/>
      <w:r>
        <w:rPr>
          <w:rFonts w:hint="eastAsia" w:ascii="仿宋" w:hAnsi="仿宋" w:eastAsia="仿宋" w:cs="仿宋"/>
          <w:color w:val="auto"/>
          <w:sz w:val="30"/>
          <w:szCs w:val="30"/>
          <w:highlight w:val="none"/>
        </w:rPr>
        <w:t>和标准</w:t>
      </w:r>
      <w:bookmarkEnd w:id="709"/>
      <w:bookmarkEnd w:id="710"/>
      <w:bookmarkEnd w:id="711"/>
    </w:p>
    <w:p w14:paraId="3AB501A6">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bookmarkStart w:id="712" w:name="_Toc391301910"/>
      <w:bookmarkStart w:id="713" w:name="_Toc396313209"/>
      <w:bookmarkStart w:id="714" w:name="_Toc364392665"/>
      <w:r>
        <w:rPr>
          <w:rFonts w:hint="eastAsia" w:ascii="仿宋" w:hAnsi="仿宋" w:eastAsia="仿宋" w:cs="仿宋"/>
          <w:b/>
          <w:bCs/>
          <w:sz w:val="28"/>
          <w:szCs w:val="28"/>
          <w:lang w:val="en-US" w:eastAsia="zh-CN"/>
        </w:rPr>
        <w:t>4</w:t>
      </w:r>
      <w:r>
        <w:rPr>
          <w:rFonts w:hint="eastAsia" w:ascii="仿宋" w:hAnsi="仿宋" w:eastAsia="仿宋" w:cs="仿宋"/>
          <w:b/>
          <w:bCs/>
          <w:sz w:val="28"/>
          <w:szCs w:val="28"/>
        </w:rPr>
        <w:t>.1符合性审查</w:t>
      </w:r>
    </w:p>
    <w:p w14:paraId="2B1CDE64">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 xml:space="preserve">1 </w:t>
      </w:r>
      <w:r>
        <w:rPr>
          <w:rFonts w:hint="eastAsia" w:ascii="仿宋" w:hAnsi="仿宋" w:eastAsia="仿宋" w:cs="仿宋"/>
          <w:color w:val="auto"/>
          <w:sz w:val="24"/>
          <w:szCs w:val="22"/>
          <w:highlight w:val="none"/>
        </w:rPr>
        <w:t>符合性审查：评标委员会依据招标文件的规定，对符合资格的投标人的投标文件进行符合性审查（具体详见《评标方法前附表》），有一项不符合的，该投标文件按无效投标处理。</w:t>
      </w:r>
    </w:p>
    <w:p w14:paraId="3E856070">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 xml:space="preserve">2 </w:t>
      </w:r>
      <w:r>
        <w:rPr>
          <w:rFonts w:hint="eastAsia" w:ascii="仿宋" w:hAnsi="仿宋" w:eastAsia="仿宋" w:cs="仿宋"/>
          <w:color w:val="auto"/>
          <w:sz w:val="24"/>
          <w:szCs w:val="22"/>
          <w:highlight w:val="none"/>
        </w:rPr>
        <w:t>符合本章第</w:t>
      </w: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.1.1、</w:t>
      </w: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.1.2项规定的投标文件视为符合招标文件的商务、技术等实质性要求评审，可以进行技术和商务评估，综合比较与评价。</w:t>
      </w:r>
    </w:p>
    <w:p w14:paraId="3203059D">
      <w:pPr>
        <w:spacing w:line="360" w:lineRule="auto"/>
        <w:ind w:firstLine="482" w:firstLineChars="200"/>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4.1.3 在评审过程中，核心产品若提供相同品牌产品且通过资格审查、符合性审查的不同投标人参加同一合同项下投标的，按一家投标人计算，评审后得分最高的同品牌投标人获得中标候选人推荐资格，评审得分相同的，</w:t>
      </w:r>
      <w:r>
        <w:rPr>
          <w:rFonts w:hint="eastAsia" w:ascii="仿宋" w:hAnsi="仿宋" w:eastAsia="仿宋" w:cs="仿宋"/>
          <w:b/>
          <w:bCs/>
          <w:color w:val="auto"/>
          <w:sz w:val="24"/>
          <w:szCs w:val="22"/>
          <w:highlight w:val="none"/>
        </w:rPr>
        <w:t>按投标报价由低到高顺序排列</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highlight w:val="none"/>
        </w:rPr>
        <w:t>评标总得分相等且</w:t>
      </w:r>
      <w:r>
        <w:rPr>
          <w:rFonts w:hint="eastAsia" w:ascii="仿宋" w:hAnsi="仿宋" w:eastAsia="仿宋" w:cs="仿宋"/>
          <w:b/>
          <w:bCs/>
          <w:color w:val="auto"/>
          <w:sz w:val="24"/>
          <w:highlight w:val="none"/>
          <w:lang w:val="en-US" w:eastAsia="zh-CN"/>
        </w:rPr>
        <w:t>报价相同的，</w:t>
      </w:r>
      <w:r>
        <w:rPr>
          <w:rFonts w:hint="eastAsia" w:ascii="仿宋" w:hAnsi="仿宋" w:eastAsia="仿宋" w:cs="仿宋"/>
          <w:b/>
          <w:bCs/>
          <w:color w:val="auto"/>
          <w:sz w:val="24"/>
          <w:highlight w:val="none"/>
          <w:lang w:eastAsia="zh-CN"/>
        </w:rPr>
        <w:t>按照技术指标优劣顺序推荐</w:t>
      </w:r>
      <w:r>
        <w:rPr>
          <w:rFonts w:hint="eastAsia" w:ascii="仿宋" w:hAnsi="仿宋" w:eastAsia="仿宋" w:cs="仿宋"/>
          <w:b/>
          <w:bCs/>
          <w:color w:val="auto"/>
          <w:sz w:val="24"/>
          <w:highlight w:val="none"/>
        </w:rPr>
        <w:t>中标候选人排列；评标总得分</w:t>
      </w:r>
      <w:r>
        <w:rPr>
          <w:rFonts w:hint="eastAsia" w:ascii="仿宋" w:hAnsi="仿宋" w:eastAsia="仿宋" w:cs="仿宋"/>
          <w:b/>
          <w:bCs/>
          <w:color w:val="auto"/>
          <w:sz w:val="24"/>
          <w:highlight w:val="none"/>
          <w:lang w:val="en-US" w:eastAsia="zh-CN"/>
        </w:rPr>
        <w:t>、报价</w:t>
      </w:r>
      <w:r>
        <w:rPr>
          <w:rFonts w:hint="eastAsia" w:ascii="仿宋" w:hAnsi="仿宋" w:eastAsia="仿宋" w:cs="仿宋"/>
          <w:b/>
          <w:bCs/>
          <w:color w:val="auto"/>
          <w:sz w:val="24"/>
          <w:highlight w:val="none"/>
        </w:rPr>
        <w:t>相等且</w:t>
      </w:r>
      <w:r>
        <w:rPr>
          <w:rFonts w:hint="eastAsia" w:ascii="仿宋" w:hAnsi="仿宋" w:eastAsia="仿宋" w:cs="仿宋"/>
          <w:b/>
          <w:bCs/>
          <w:color w:val="auto"/>
          <w:sz w:val="24"/>
          <w:highlight w:val="none"/>
          <w:lang w:val="en-US" w:eastAsia="zh-CN"/>
        </w:rPr>
        <w:t>技术</w:t>
      </w:r>
      <w:r>
        <w:rPr>
          <w:rFonts w:hint="eastAsia" w:ascii="仿宋" w:hAnsi="仿宋" w:eastAsia="仿宋" w:cs="仿宋"/>
          <w:b/>
          <w:bCs/>
          <w:color w:val="auto"/>
          <w:sz w:val="24"/>
          <w:highlight w:val="none"/>
        </w:rPr>
        <w:t>部分评审得分相同时，</w:t>
      </w:r>
      <w:r>
        <w:rPr>
          <w:rFonts w:hint="eastAsia" w:ascii="仿宋" w:hAnsi="仿宋" w:eastAsia="仿宋" w:cs="仿宋"/>
          <w:b/>
          <w:bCs/>
          <w:color w:val="auto"/>
          <w:sz w:val="24"/>
          <w:highlight w:val="none"/>
          <w:lang w:val="en-US" w:eastAsia="zh-CN"/>
        </w:rPr>
        <w:t>按照商务指标</w:t>
      </w:r>
      <w:r>
        <w:rPr>
          <w:rFonts w:hint="eastAsia" w:ascii="仿宋" w:hAnsi="仿宋" w:eastAsia="仿宋" w:cs="仿宋"/>
          <w:b/>
          <w:bCs/>
          <w:color w:val="auto"/>
          <w:sz w:val="24"/>
          <w:highlight w:val="none"/>
          <w:lang w:eastAsia="zh-CN"/>
        </w:rPr>
        <w:t>优劣顺序</w:t>
      </w:r>
      <w:r>
        <w:rPr>
          <w:rFonts w:hint="eastAsia" w:ascii="仿宋" w:hAnsi="仿宋" w:eastAsia="仿宋" w:cs="仿宋"/>
          <w:b/>
          <w:bCs/>
          <w:color w:val="auto"/>
          <w:sz w:val="24"/>
          <w:highlight w:val="none"/>
        </w:rPr>
        <w:t>推荐排序。若以上顺序排列相等，则评标委员会采取举手表决的方式推荐</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候选人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其他同品牌投标人不作为中标候选人</w:t>
      </w:r>
      <w:r>
        <w:rPr>
          <w:rFonts w:hint="eastAsia" w:ascii="仿宋" w:hAnsi="仿宋" w:eastAsia="仿宋" w:cs="仿宋"/>
          <w:b/>
          <w:bCs/>
          <w:color w:val="auto"/>
          <w:sz w:val="24"/>
          <w:highlight w:val="none"/>
        </w:rPr>
        <w:t>。</w:t>
      </w:r>
    </w:p>
    <w:p w14:paraId="272222DE">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4.1.4 若单个项目包为非单一产品采购项目，对于招标规定的核心产品，多家投标人提供的核心产品品牌有一项品牌相同的，按4.1.3款规定处理。</w:t>
      </w:r>
    </w:p>
    <w:p w14:paraId="00356D52">
      <w:pPr>
        <w:pStyle w:val="4"/>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bookmarkStart w:id="715" w:name="_Toc778"/>
      <w:bookmarkStart w:id="716" w:name="_Toc9004"/>
      <w:bookmarkStart w:id="717" w:name="_Toc489145775"/>
      <w:bookmarkStart w:id="718" w:name="_Toc321836408"/>
      <w:bookmarkStart w:id="719" w:name="_Toc528186516"/>
      <w:bookmarkStart w:id="720" w:name="_Toc489197879"/>
      <w:bookmarkStart w:id="721" w:name="_Toc9420"/>
      <w:r>
        <w:rPr>
          <w:rFonts w:hint="eastAsia" w:ascii="仿宋" w:hAnsi="仿宋" w:eastAsia="仿宋" w:cs="仿宋"/>
          <w:b/>
          <w:bCs/>
          <w:sz w:val="28"/>
          <w:szCs w:val="28"/>
          <w:lang w:val="en-US" w:eastAsia="zh-CN"/>
        </w:rPr>
        <w:t>4.2分值构成与评分标准</w:t>
      </w:r>
      <w:bookmarkEnd w:id="715"/>
      <w:bookmarkEnd w:id="716"/>
      <w:bookmarkEnd w:id="717"/>
      <w:bookmarkEnd w:id="718"/>
      <w:bookmarkEnd w:id="719"/>
      <w:bookmarkEnd w:id="720"/>
      <w:bookmarkEnd w:id="721"/>
    </w:p>
    <w:p w14:paraId="7839258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.2.1分值构成</w:t>
      </w:r>
    </w:p>
    <w:p w14:paraId="658E2856">
      <w:pPr>
        <w:shd w:val="clea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（1）价格部分：详见《评标方法前附表》；</w:t>
      </w:r>
    </w:p>
    <w:p w14:paraId="55D35FCD">
      <w:pPr>
        <w:shd w:val="clea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（2）技术部分：详见《评标方法前附表》；</w:t>
      </w:r>
    </w:p>
    <w:p w14:paraId="5ED7CCE8">
      <w:pPr>
        <w:shd w:val="clea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（3）商务部分：详见《评标方法前附表》。</w:t>
      </w:r>
    </w:p>
    <w:p w14:paraId="58DC6494">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.2.2评标基准价计算方法：详见《评标方法前附表》。</w:t>
      </w:r>
    </w:p>
    <w:p w14:paraId="7F70D5B7">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.2.3评分标准</w:t>
      </w:r>
    </w:p>
    <w:p w14:paraId="2F600F18">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按招标文件中规定的评标方法和标准，对满足招标文件实质性要求评审的投标文件进行技术和商务评估，综合比较与评价。</w:t>
      </w:r>
    </w:p>
    <w:p w14:paraId="42C72483">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（1）价格</w:t>
      </w:r>
      <w:r>
        <w:rPr>
          <w:rFonts w:hint="eastAsia" w:ascii="仿宋" w:hAnsi="仿宋" w:eastAsia="仿宋" w:cs="仿宋"/>
          <w:color w:val="auto"/>
          <w:sz w:val="24"/>
          <w:szCs w:val="22"/>
          <w:highlight w:val="none"/>
        </w:rPr>
        <w:t>部分评分标准：详见《评标方法前附表》；</w:t>
      </w:r>
    </w:p>
    <w:p w14:paraId="7160C62C">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技术部分评分标准：详见《评标方法前附表》；</w:t>
      </w:r>
    </w:p>
    <w:p w14:paraId="5755A308">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商务部分评分标准：详见《评标方法前附表》。</w:t>
      </w:r>
    </w:p>
    <w:p w14:paraId="45A607DC">
      <w:pPr>
        <w:pStyle w:val="4"/>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2"/>
          <w:highlight w:val="none"/>
        </w:rPr>
      </w:pPr>
      <w:bookmarkStart w:id="722" w:name="_Toc489145776"/>
      <w:bookmarkStart w:id="723" w:name="_Toc489197880"/>
      <w:bookmarkStart w:id="724" w:name="_Toc321836409"/>
      <w:bookmarkStart w:id="725" w:name="_Toc528186517"/>
      <w:bookmarkStart w:id="726" w:name="_Toc7817"/>
      <w:bookmarkStart w:id="727" w:name="_Toc26720"/>
      <w:bookmarkStart w:id="728" w:name="_Toc7486"/>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.3</w:t>
      </w:r>
      <w:bookmarkEnd w:id="722"/>
      <w:bookmarkEnd w:id="723"/>
      <w:bookmarkEnd w:id="724"/>
      <w:r>
        <w:rPr>
          <w:rFonts w:hint="eastAsia" w:ascii="仿宋" w:hAnsi="仿宋" w:eastAsia="仿宋" w:cs="仿宋"/>
          <w:color w:val="auto"/>
          <w:sz w:val="24"/>
          <w:szCs w:val="22"/>
          <w:highlight w:val="none"/>
        </w:rPr>
        <w:t>综合比较与评价</w:t>
      </w:r>
      <w:bookmarkEnd w:id="725"/>
      <w:bookmarkEnd w:id="726"/>
      <w:bookmarkEnd w:id="727"/>
      <w:bookmarkEnd w:id="728"/>
    </w:p>
    <w:p w14:paraId="19149F70">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.3.1评标委员会按本章</w:t>
      </w: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.2.3规定的评分标准进行打分，并计算出投标人的评标总得分。对投标人的价格分等客观评分项的评分应当一致，对其他需要借助专业知识评判的主观评分项，应当严格按照评分细则公正评分。</w:t>
      </w:r>
    </w:p>
    <w:p w14:paraId="226F8060">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）按本章《评标方法前附表》的规定对</w:t>
      </w:r>
      <w:r>
        <w:rPr>
          <w:rFonts w:hint="eastAsia" w:ascii="仿宋" w:hAnsi="仿宋" w:eastAsia="仿宋" w:cs="仿宋"/>
          <w:color w:val="auto"/>
          <w:sz w:val="24"/>
          <w:szCs w:val="22"/>
          <w:highlight w:val="none"/>
          <w:lang w:val="en-US" w:eastAsia="zh-CN"/>
        </w:rPr>
        <w:t>价格</w:t>
      </w:r>
      <w:r>
        <w:rPr>
          <w:rFonts w:hint="eastAsia" w:ascii="仿宋" w:hAnsi="仿宋" w:eastAsia="仿宋" w:cs="仿宋"/>
          <w:color w:val="auto"/>
          <w:sz w:val="24"/>
          <w:szCs w:val="22"/>
          <w:highlight w:val="none"/>
        </w:rPr>
        <w:t>部分评分，得分F</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w:t>
      </w:r>
    </w:p>
    <w:p w14:paraId="32092387">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按本章《评标方法前附表》的规定对技术部分评分，得分F2；</w:t>
      </w:r>
    </w:p>
    <w:p w14:paraId="39AA179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）按本章《评标方法前附表》的规定对商务部分评分，得分F3；</w:t>
      </w:r>
    </w:p>
    <w:p w14:paraId="12ED1CB1">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22"/>
          <w:highlight w:val="none"/>
        </w:rPr>
        <w:t>）按本章《评标方法前附表》的规定计算评标总得分。</w:t>
      </w:r>
    </w:p>
    <w:p w14:paraId="5BB62961">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.3.2</w:t>
      </w:r>
      <w:r>
        <w:rPr>
          <w:rFonts w:hint="eastAsia" w:ascii="仿宋" w:hAnsi="仿宋" w:eastAsia="仿宋" w:cs="仿宋"/>
          <w:color w:val="auto"/>
          <w:sz w:val="24"/>
          <w:szCs w:val="22"/>
          <w:highlight w:val="none"/>
          <w:lang w:val="en-US" w:eastAsia="zh-CN"/>
        </w:rPr>
        <w:t>价格</w:t>
      </w:r>
      <w:r>
        <w:rPr>
          <w:rFonts w:hint="eastAsia" w:ascii="仿宋" w:hAnsi="仿宋" w:eastAsia="仿宋" w:cs="仿宋"/>
          <w:color w:val="auto"/>
          <w:sz w:val="24"/>
          <w:szCs w:val="22"/>
          <w:highlight w:val="none"/>
        </w:rPr>
        <w:t>部分（F</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技术部分（F2）</w:t>
      </w:r>
      <w:r>
        <w:rPr>
          <w:rFonts w:hint="eastAsia" w:ascii="仿宋" w:hAnsi="仿宋" w:eastAsia="仿宋" w:cs="仿宋"/>
          <w:color w:val="auto"/>
          <w:sz w:val="24"/>
          <w:szCs w:val="22"/>
          <w:highlight w:val="none"/>
          <w:lang w:val="en-US" w:eastAsia="zh-CN"/>
        </w:rPr>
        <w:t>及</w:t>
      </w:r>
      <w:r>
        <w:rPr>
          <w:rFonts w:hint="eastAsia" w:ascii="仿宋" w:hAnsi="仿宋" w:eastAsia="仿宋" w:cs="仿宋"/>
          <w:color w:val="auto"/>
          <w:sz w:val="24"/>
          <w:szCs w:val="22"/>
          <w:highlight w:val="none"/>
        </w:rPr>
        <w:t>商务部分（F3）得分由评标委员会成员独立评分，投标人各项评分因素得分为该项因素各评委评分的算术平均值（保留小数点后两位），小数点后第三位“四舍五入”。</w:t>
      </w:r>
    </w:p>
    <w:p w14:paraId="764279E0">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3.3评标委员会成员要依法独立评审，并对评审意见承担个人责任。评标委员会成员对需要共同认定的事项存在争议的，应当按照少数服从多数的原则作出结论。持不同意见的评标委员会成员应当在评标报告上签署不同意见及理由，否则视为同意评标报告。</w:t>
      </w:r>
    </w:p>
    <w:p w14:paraId="0899B9ED">
      <w:pPr>
        <w:pStyle w:val="4"/>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2"/>
          <w:highlight w:val="none"/>
        </w:rPr>
      </w:pPr>
      <w:bookmarkStart w:id="729" w:name="_Toc1893"/>
      <w:bookmarkStart w:id="730" w:name="_Toc321836412"/>
      <w:bookmarkStart w:id="731" w:name="_Toc21642"/>
      <w:bookmarkStart w:id="732" w:name="_Toc489145777"/>
      <w:bookmarkStart w:id="733" w:name="_Toc31390"/>
      <w:bookmarkStart w:id="734" w:name="_Toc528186518"/>
      <w:bookmarkStart w:id="735" w:name="_Toc489197881"/>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.4投标文件的澄清</w:t>
      </w:r>
      <w:bookmarkEnd w:id="729"/>
      <w:bookmarkEnd w:id="730"/>
      <w:bookmarkEnd w:id="731"/>
      <w:bookmarkEnd w:id="732"/>
      <w:bookmarkEnd w:id="733"/>
      <w:bookmarkEnd w:id="734"/>
      <w:bookmarkEnd w:id="735"/>
    </w:p>
    <w:p w14:paraId="662EDB39">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4.1投标文件中出现含义不明确、同类问题表述不一致或者有明显文字和计算错误的内容，评标委员会将以书面形式要求投标人作出必要的澄清、说明或者补正。投标人的澄清、说明或者补正应当采用书面形式，并加盖公章，或者由</w:t>
      </w:r>
      <w:r>
        <w:rPr>
          <w:rFonts w:hint="eastAsia" w:ascii="仿宋" w:hAnsi="仿宋" w:eastAsia="仿宋" w:cs="仿宋"/>
          <w:color w:val="auto"/>
          <w:sz w:val="24"/>
          <w:szCs w:val="22"/>
          <w:highlight w:val="none"/>
          <w:lang w:eastAsia="zh-CN"/>
        </w:rPr>
        <w:t>法定代表人（负责人）</w:t>
      </w:r>
      <w:r>
        <w:rPr>
          <w:rFonts w:hint="eastAsia" w:ascii="仿宋" w:hAnsi="仿宋" w:eastAsia="仿宋" w:cs="仿宋"/>
          <w:color w:val="auto"/>
          <w:sz w:val="24"/>
          <w:szCs w:val="22"/>
          <w:highlight w:val="none"/>
        </w:rPr>
        <w:t>或其授权的代表签字。投标人的澄清、说明或者补正不得超出投标文件的范围或者改变投标文件的实质性内容。</w:t>
      </w:r>
    </w:p>
    <w:p w14:paraId="12B9300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.4.2评标委员会不接受投标人主动提出的澄清、说明或者补正。</w:t>
      </w:r>
    </w:p>
    <w:p w14:paraId="5DBE49D1">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.4.3评标委员会对投标人提交的澄清、说明或者补正有疑问的，可以要求投标人进一步澄清、说明或者补正。</w:t>
      </w:r>
    </w:p>
    <w:p w14:paraId="0247A776">
      <w:pPr>
        <w:pStyle w:val="4"/>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2"/>
          <w:highlight w:val="none"/>
        </w:rPr>
      </w:pPr>
      <w:bookmarkStart w:id="736" w:name="_Toc12088"/>
      <w:bookmarkStart w:id="737" w:name="_Toc13737"/>
      <w:bookmarkStart w:id="738" w:name="_Toc18892"/>
      <w:bookmarkStart w:id="739" w:name="_Toc489145778"/>
      <w:bookmarkStart w:id="740" w:name="_Toc321836413"/>
      <w:bookmarkStart w:id="741" w:name="_Toc489197882"/>
      <w:bookmarkStart w:id="742" w:name="_Toc528186519"/>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.5评标结果</w:t>
      </w:r>
      <w:bookmarkEnd w:id="736"/>
      <w:bookmarkEnd w:id="737"/>
      <w:bookmarkEnd w:id="738"/>
      <w:bookmarkEnd w:id="739"/>
      <w:bookmarkEnd w:id="740"/>
      <w:bookmarkEnd w:id="741"/>
      <w:bookmarkEnd w:id="742"/>
    </w:p>
    <w:p w14:paraId="3966E3CB">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5.1本评标委员会对满足招标文件实质性要求的投标文件，按照本章前附表规定的评分标准进行打分，并按上述评标总得分计算公式计算评标总得分，按评标总得分由高到低的顺序推荐中标候选人排序；评标总得分相等时，按投标报价由低到</w:t>
      </w:r>
      <w:r>
        <w:rPr>
          <w:rFonts w:hint="eastAsia" w:ascii="仿宋" w:hAnsi="仿宋" w:eastAsia="仿宋" w:cs="仿宋"/>
          <w:color w:val="auto"/>
          <w:sz w:val="24"/>
          <w:szCs w:val="22"/>
          <w:highlight w:val="none"/>
          <w:lang w:eastAsia="zh-CN"/>
        </w:rPr>
        <w:t>高的</w:t>
      </w:r>
      <w:r>
        <w:rPr>
          <w:rFonts w:hint="eastAsia" w:ascii="仿宋" w:hAnsi="仿宋" w:eastAsia="仿宋" w:cs="仿宋"/>
          <w:color w:val="auto"/>
          <w:sz w:val="24"/>
          <w:szCs w:val="22"/>
          <w:highlight w:val="none"/>
        </w:rPr>
        <w:t>顺序排列</w:t>
      </w:r>
      <w:r>
        <w:rPr>
          <w:rFonts w:hint="eastAsia" w:ascii="仿宋" w:hAnsi="仿宋" w:eastAsia="仿宋" w:cs="仿宋"/>
          <w:color w:val="auto"/>
          <w:sz w:val="24"/>
          <w:szCs w:val="22"/>
          <w:highlight w:val="none"/>
          <w:lang w:eastAsia="zh-CN"/>
        </w:rPr>
        <w:t>，评审得分且</w:t>
      </w:r>
      <w:r>
        <w:rPr>
          <w:rFonts w:hint="eastAsia" w:ascii="仿宋" w:hAnsi="仿宋" w:eastAsia="仿宋" w:cs="仿宋"/>
          <w:color w:val="auto"/>
          <w:sz w:val="24"/>
          <w:szCs w:val="22"/>
          <w:highlight w:val="none"/>
          <w:lang w:val="en-US" w:eastAsia="zh-CN"/>
        </w:rPr>
        <w:t>投标</w:t>
      </w:r>
      <w:r>
        <w:rPr>
          <w:rFonts w:hint="eastAsia" w:ascii="仿宋" w:hAnsi="仿宋" w:eastAsia="仿宋" w:cs="仿宋"/>
          <w:color w:val="auto"/>
          <w:sz w:val="24"/>
          <w:szCs w:val="22"/>
          <w:highlight w:val="none"/>
          <w:lang w:eastAsia="zh-CN"/>
        </w:rPr>
        <w:t>报价相同</w:t>
      </w:r>
      <w:r>
        <w:rPr>
          <w:rFonts w:hint="eastAsia" w:ascii="仿宋" w:hAnsi="仿宋" w:eastAsia="仿宋" w:cs="仿宋"/>
          <w:color w:val="auto"/>
          <w:sz w:val="24"/>
          <w:szCs w:val="22"/>
          <w:highlight w:val="none"/>
          <w:lang w:val="en-US" w:eastAsia="zh-CN"/>
        </w:rPr>
        <w:t>时</w:t>
      </w:r>
      <w:r>
        <w:rPr>
          <w:rFonts w:hint="eastAsia" w:ascii="仿宋" w:hAnsi="仿宋" w:eastAsia="仿宋" w:cs="仿宋"/>
          <w:color w:val="auto"/>
          <w:sz w:val="24"/>
          <w:szCs w:val="22"/>
          <w:highlight w:val="none"/>
          <w:lang w:eastAsia="zh-CN"/>
        </w:rPr>
        <w:t>，按照评审因素的量化指标优劣顺序推荐</w:t>
      </w:r>
      <w:r>
        <w:rPr>
          <w:rFonts w:hint="eastAsia" w:ascii="仿宋" w:hAnsi="仿宋" w:eastAsia="仿宋" w:cs="仿宋"/>
          <w:color w:val="auto"/>
          <w:sz w:val="24"/>
          <w:szCs w:val="22"/>
          <w:highlight w:val="none"/>
        </w:rPr>
        <w:t>中标候选人排列；若以上政府采购政策的顺序排列相等，则评标委员会采取举手表决的方式推荐</w:t>
      </w:r>
      <w:r>
        <w:rPr>
          <w:rFonts w:hint="eastAsia" w:ascii="仿宋" w:hAnsi="仿宋" w:eastAsia="仿宋" w:cs="仿宋"/>
          <w:color w:val="auto"/>
          <w:sz w:val="24"/>
          <w:szCs w:val="22"/>
          <w:highlight w:val="none"/>
          <w:lang w:val="en-US" w:eastAsia="zh-CN"/>
        </w:rPr>
        <w:t>中标</w:t>
      </w:r>
      <w:r>
        <w:rPr>
          <w:rFonts w:hint="eastAsia" w:ascii="仿宋" w:hAnsi="仿宋" w:eastAsia="仿宋" w:cs="仿宋"/>
          <w:color w:val="auto"/>
          <w:sz w:val="24"/>
          <w:szCs w:val="22"/>
          <w:highlight w:val="none"/>
        </w:rPr>
        <w:t>候选人。</w:t>
      </w:r>
    </w:p>
    <w:p w14:paraId="67DE9645">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4</w:t>
      </w:r>
      <w:r>
        <w:rPr>
          <w:rFonts w:hint="eastAsia" w:ascii="仿宋" w:hAnsi="仿宋" w:eastAsia="仿宋" w:cs="仿宋"/>
          <w:color w:val="auto"/>
          <w:sz w:val="24"/>
          <w:szCs w:val="22"/>
          <w:highlight w:val="none"/>
        </w:rPr>
        <w:t>.5.2</w:t>
      </w:r>
      <w:r>
        <w:rPr>
          <w:rFonts w:hint="eastAsia" w:ascii="仿宋" w:hAnsi="仿宋" w:eastAsia="仿宋" w:cs="仿宋"/>
          <w:color w:val="auto"/>
          <w:sz w:val="24"/>
          <w:szCs w:val="22"/>
          <w:highlight w:val="none"/>
          <w:lang w:eastAsia="zh-CN"/>
        </w:rPr>
        <w:t>招标人</w:t>
      </w:r>
      <w:r>
        <w:rPr>
          <w:rFonts w:hint="eastAsia" w:ascii="仿宋" w:hAnsi="仿宋" w:eastAsia="仿宋" w:cs="仿宋"/>
          <w:color w:val="auto"/>
          <w:sz w:val="24"/>
          <w:szCs w:val="22"/>
          <w:highlight w:val="none"/>
        </w:rPr>
        <w:t>根据评标委员会提出的书面评标报告和推荐的中标候选人名单，确定中标人。</w:t>
      </w:r>
    </w:p>
    <w:p w14:paraId="51D2E300">
      <w:pPr>
        <w:shd w:val="clea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22"/>
          <w:highlight w:val="none"/>
        </w:rPr>
        <w:t>.5.3评标委员会发现招标文件存在歧义、重大缺陷导致评标工作无法进行，或者招标文件内容违反国家有关强制性规定的，应当停止评标工作，与</w:t>
      </w:r>
      <w:r>
        <w:rPr>
          <w:rFonts w:hint="eastAsia" w:ascii="仿宋" w:hAnsi="仿宋" w:eastAsia="仿宋" w:cs="仿宋"/>
          <w:color w:val="auto"/>
          <w:sz w:val="24"/>
          <w:szCs w:val="22"/>
          <w:highlight w:val="none"/>
          <w:lang w:eastAsia="zh-CN"/>
        </w:rPr>
        <w:t>招标人</w:t>
      </w:r>
      <w:r>
        <w:rPr>
          <w:rFonts w:hint="eastAsia" w:ascii="仿宋" w:hAnsi="仿宋" w:eastAsia="仿宋" w:cs="仿宋"/>
          <w:color w:val="auto"/>
          <w:sz w:val="24"/>
          <w:szCs w:val="22"/>
          <w:highlight w:val="none"/>
        </w:rPr>
        <w:t>或者</w:t>
      </w:r>
      <w:r>
        <w:rPr>
          <w:rFonts w:hint="eastAsia" w:ascii="仿宋" w:hAnsi="仿宋" w:eastAsia="仿宋" w:cs="仿宋"/>
          <w:color w:val="auto"/>
          <w:sz w:val="24"/>
          <w:szCs w:val="22"/>
          <w:highlight w:val="none"/>
          <w:lang w:eastAsia="zh-CN"/>
        </w:rPr>
        <w:t>采购代理机构</w:t>
      </w:r>
      <w:r>
        <w:rPr>
          <w:rFonts w:hint="eastAsia" w:ascii="仿宋" w:hAnsi="仿宋" w:eastAsia="仿宋" w:cs="仿宋"/>
          <w:color w:val="auto"/>
          <w:sz w:val="24"/>
          <w:szCs w:val="22"/>
          <w:highlight w:val="none"/>
        </w:rPr>
        <w:t>沟通并作书面记录。</w:t>
      </w:r>
      <w:r>
        <w:rPr>
          <w:rFonts w:hint="eastAsia" w:ascii="仿宋" w:hAnsi="仿宋" w:eastAsia="仿宋" w:cs="仿宋"/>
          <w:color w:val="auto"/>
          <w:sz w:val="24"/>
          <w:szCs w:val="22"/>
          <w:highlight w:val="none"/>
          <w:lang w:eastAsia="zh-CN"/>
        </w:rPr>
        <w:t>招标人</w:t>
      </w:r>
      <w:r>
        <w:rPr>
          <w:rFonts w:hint="eastAsia" w:ascii="仿宋" w:hAnsi="仿宋" w:eastAsia="仿宋" w:cs="仿宋"/>
          <w:color w:val="auto"/>
          <w:sz w:val="24"/>
          <w:szCs w:val="22"/>
          <w:highlight w:val="none"/>
        </w:rPr>
        <w:t>或者</w:t>
      </w:r>
      <w:r>
        <w:rPr>
          <w:rFonts w:hint="eastAsia" w:ascii="仿宋" w:hAnsi="仿宋" w:eastAsia="仿宋" w:cs="仿宋"/>
          <w:color w:val="auto"/>
          <w:sz w:val="24"/>
          <w:szCs w:val="22"/>
          <w:highlight w:val="none"/>
          <w:lang w:eastAsia="zh-CN"/>
        </w:rPr>
        <w:t>采购代理机构</w:t>
      </w:r>
      <w:r>
        <w:rPr>
          <w:rFonts w:hint="eastAsia" w:ascii="仿宋" w:hAnsi="仿宋" w:eastAsia="仿宋" w:cs="仿宋"/>
          <w:color w:val="auto"/>
          <w:sz w:val="24"/>
          <w:szCs w:val="22"/>
          <w:highlight w:val="none"/>
        </w:rPr>
        <w:t>确认后，应当修改招标文件，重新组织采购活动。</w:t>
      </w:r>
      <w:bookmarkEnd w:id="712"/>
      <w:bookmarkEnd w:id="713"/>
      <w:bookmarkEnd w:id="714"/>
    </w:p>
    <w:sectPr>
      <w:headerReference r:id="rId7" w:type="default"/>
      <w:pgSz w:w="11906" w:h="16838"/>
      <w:pgMar w:top="1134" w:right="1417" w:bottom="1417" w:left="1417" w:header="567" w:footer="567"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ti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783E">
    <w:pPr>
      <w:pStyle w:val="16"/>
      <w:jc w:val="center"/>
    </w:pPr>
  </w:p>
  <w:p w14:paraId="3D71E3C1">
    <w:pPr>
      <w:pStyle w:val="1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B703">
    <w:pPr>
      <w:pStyle w:val="16"/>
      <w:rPr>
        <w:sz w:val="28"/>
        <w:szCs w:val="28"/>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100A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0100AF">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ascii="仿宋_GB2312" w:eastAsia="仿宋_GB2312"/>
        <w:b/>
        <w:bCs/>
        <w:color w:val="000000"/>
        <w:sz w:val="32"/>
        <w:szCs w:val="32"/>
      </w:rPr>
      <w:drawing>
        <wp:inline distT="0" distB="0" distL="0" distR="0">
          <wp:extent cx="2714625" cy="514350"/>
          <wp:effectExtent l="0" t="0" r="9525" b="0"/>
          <wp:docPr id="1" name="图片 1" descr="蓝本全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蓝本全称-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14625" cy="514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2044">
    <w:pPr>
      <w:pStyle w:val="16"/>
      <w:jc w:val="both"/>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margin">
                <wp:posOffset>3340100</wp:posOffset>
              </wp:positionH>
              <wp:positionV relativeFrom="paragraph">
                <wp:posOffset>212090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94AE8">
                          <w:pPr>
                            <w:pStyle w:val="1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3pt;margin-top:16.7pt;height:144pt;width:144pt;mso-position-horizontal-relative:margin;mso-wrap-style:none;z-index:251661312;mso-width-relative:page;mso-height-relative:page;" filled="f" stroked="f" coordsize="21600,21600" o:gfxdata="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JSkP1gAAAAoBAAAPAAAAAAAAAAEAIAAAACIAAABkcnMvZG93bnJldi54bWxQSwECFAAU&#10;AAAACACHTuJAr2PYMCwCAABVBAAADgAAAAAAAAABACAAAAAlAQAAZHJzL2Uyb0RvYy54bWxQSwUG&#10;AAAAAAYABgBZAQAAwwUAAAAA&#10;">
              <v:fill on="f" focussize="0,0"/>
              <v:stroke on="f" weight="0.5pt"/>
              <v:imagedata o:title=""/>
              <o:lock v:ext="edit" aspectratio="f"/>
              <v:textbox inset="0mm,0mm,0mm,0mm" style="mso-fit-shape-to-text:t;">
                <w:txbxContent>
                  <w:p w14:paraId="24194AE8">
                    <w:pPr>
                      <w:pStyle w:val="16"/>
                    </w:pPr>
                    <w:r>
                      <w:fldChar w:fldCharType="begin"/>
                    </w:r>
                    <w:r>
                      <w:instrText xml:space="preserve"> PAGE  \* MERGEFORMAT </w:instrText>
                    </w:r>
                    <w:r>
                      <w:fldChar w:fldCharType="separate"/>
                    </w:r>
                    <w:r>
                      <w:t>76</w:t>
                    </w:r>
                    <w:r>
                      <w:fldChar w:fldCharType="end"/>
                    </w:r>
                  </w:p>
                </w:txbxContent>
              </v:textbox>
            </v:shape>
          </w:pict>
        </mc:Fallback>
      </mc:AlternateContent>
    </w:r>
    <w:r>
      <w:rPr>
        <w:rFonts w:ascii="仿宋_GB2312" w:eastAsia="仿宋_GB2312"/>
        <w:b/>
        <w:bCs/>
        <w:color w:val="000000"/>
        <w:sz w:val="32"/>
        <w:szCs w:val="32"/>
      </w:rPr>
      <w:drawing>
        <wp:inline distT="0" distB="0" distL="0" distR="0">
          <wp:extent cx="2714625" cy="514350"/>
          <wp:effectExtent l="0" t="0" r="9525" b="0"/>
          <wp:docPr id="2" name="图片 2" descr="蓝本全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蓝本全称-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14625" cy="51435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5F34">
    <w:pPr>
      <w:pStyle w:val="17"/>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仿宋" w:hAnsi="仿宋" w:eastAsia="仿宋"/>
        <w:sz w:val="21"/>
        <w:szCs w:val="21"/>
        <w:lang w:eastAsia="zh-CN"/>
      </w:rPr>
      <w:t>永胜县中医医院中药饮片采购项目</w:t>
    </w:r>
    <w:r>
      <w:rPr>
        <w:rFonts w:hint="eastAsia" w:ascii="仿宋" w:hAnsi="仿宋" w:eastAsia="仿宋"/>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C980">
    <w:pPr>
      <w:pStyle w:val="17"/>
    </w:pPr>
    <w:r>
      <w:rPr>
        <w:rFonts w:hint="eastAsia" w:ascii="仿宋" w:hAnsi="仿宋" w:eastAsia="仿宋"/>
        <w:sz w:val="21"/>
        <w:szCs w:val="21"/>
        <w:lang w:eastAsia="zh-CN"/>
      </w:rPr>
      <w:t>永胜县中医医院中药饮片采购项目</w:t>
    </w:r>
    <w:r>
      <w:rPr>
        <w:rFonts w:hint="eastAsia" w:ascii="仿宋" w:hAnsi="仿宋" w:eastAsia="仿宋"/>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07460"/>
    <w:multiLevelType w:val="singleLevel"/>
    <w:tmpl w:val="84D07460"/>
    <w:lvl w:ilvl="0" w:tentative="0">
      <w:start w:val="6"/>
      <w:numFmt w:val="decimal"/>
      <w:suff w:val="nothing"/>
      <w:lvlText w:val="%1、"/>
      <w:lvlJc w:val="left"/>
    </w:lvl>
  </w:abstractNum>
  <w:abstractNum w:abstractNumId="1">
    <w:nsid w:val="B97BE22E"/>
    <w:multiLevelType w:val="singleLevel"/>
    <w:tmpl w:val="B97BE22E"/>
    <w:lvl w:ilvl="0" w:tentative="0">
      <w:start w:val="1"/>
      <w:numFmt w:val="chineseCounting"/>
      <w:suff w:val="nothing"/>
      <w:lvlText w:val="%1、"/>
      <w:lvlJc w:val="left"/>
      <w:rPr>
        <w:rFonts w:hint="eastAsia"/>
      </w:rPr>
    </w:lvl>
  </w:abstractNum>
  <w:abstractNum w:abstractNumId="2">
    <w:nsid w:val="C96A8AF2"/>
    <w:multiLevelType w:val="singleLevel"/>
    <w:tmpl w:val="C96A8AF2"/>
    <w:lvl w:ilvl="0" w:tentative="0">
      <w:start w:val="1"/>
      <w:numFmt w:val="decimal"/>
      <w:suff w:val="nothing"/>
      <w:lvlText w:val="（%1）"/>
      <w:lvlJc w:val="left"/>
    </w:lvl>
  </w:abstractNum>
  <w:abstractNum w:abstractNumId="3">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14E26AB"/>
    <w:multiLevelType w:val="singleLevel"/>
    <w:tmpl w:val="114E26AB"/>
    <w:lvl w:ilvl="0" w:tentative="0">
      <w:start w:val="1"/>
      <w:numFmt w:val="decimal"/>
      <w:lvlText w:val="%1."/>
      <w:lvlJc w:val="left"/>
      <w:pPr>
        <w:tabs>
          <w:tab w:val="left" w:pos="312"/>
        </w:tabs>
      </w:pPr>
    </w:lvl>
  </w:abstractNum>
  <w:abstractNum w:abstractNumId="5">
    <w:nsid w:val="1EBB60D7"/>
    <w:multiLevelType w:val="singleLevel"/>
    <w:tmpl w:val="1EBB60D7"/>
    <w:lvl w:ilvl="0" w:tentative="0">
      <w:start w:val="4"/>
      <w:numFmt w:val="decimal"/>
      <w:suff w:val="nothing"/>
      <w:lvlText w:val="（%1）"/>
      <w:lvlJc w:val="left"/>
    </w:lvl>
  </w:abstractNum>
  <w:abstractNum w:abstractNumId="6">
    <w:nsid w:val="3058D435"/>
    <w:multiLevelType w:val="singleLevel"/>
    <w:tmpl w:val="3058D435"/>
    <w:lvl w:ilvl="0" w:tentative="0">
      <w:start w:val="5"/>
      <w:numFmt w:val="chineseCounting"/>
      <w:suff w:val="space"/>
      <w:lvlText w:val="第%1章"/>
      <w:lvlJc w:val="left"/>
      <w:rPr>
        <w:rFonts w:hint="eastAsia"/>
      </w:rPr>
    </w:lvl>
  </w:abstractNum>
  <w:abstractNum w:abstractNumId="7">
    <w:nsid w:val="3DAB7FC1"/>
    <w:multiLevelType w:val="singleLevel"/>
    <w:tmpl w:val="3DAB7FC1"/>
    <w:lvl w:ilvl="0" w:tentative="0">
      <w:start w:val="1"/>
      <w:numFmt w:val="decimal"/>
      <w:lvlText w:val="%1."/>
      <w:lvlJc w:val="left"/>
      <w:pPr>
        <w:tabs>
          <w:tab w:val="left" w:pos="312"/>
        </w:tabs>
      </w:pPr>
    </w:lvl>
  </w:abstractNum>
  <w:abstractNum w:abstractNumId="8">
    <w:nsid w:val="54BE46F1"/>
    <w:multiLevelType w:val="multilevel"/>
    <w:tmpl w:val="54BE46F1"/>
    <w:lvl w:ilvl="0" w:tentative="0">
      <w:start w:val="1"/>
      <w:numFmt w:val="japaneseCounting"/>
      <w:lvlText w:val="第%1章"/>
      <w:lvlJc w:val="left"/>
      <w:pPr>
        <w:ind w:left="1395" w:hanging="13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0"/>
  </w:num>
  <w:num w:numId="4">
    <w:abstractNumId w:val="1"/>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ZTM2ZDZhYmM5MjA0M2IzOGRlMzYyZTJkYTVkNGMifQ=="/>
    <w:docVar w:name="KSO_WPS_MARK_KEY" w:val="3789e3af-dbe6-4420-a3b5-11170879693f"/>
  </w:docVars>
  <w:rsids>
    <w:rsidRoot w:val="2965041B"/>
    <w:rsid w:val="00032FD7"/>
    <w:rsid w:val="00704714"/>
    <w:rsid w:val="00DF677C"/>
    <w:rsid w:val="014F43D0"/>
    <w:rsid w:val="018169FA"/>
    <w:rsid w:val="01B00459"/>
    <w:rsid w:val="01F66FAF"/>
    <w:rsid w:val="0272107A"/>
    <w:rsid w:val="0327489F"/>
    <w:rsid w:val="03344399"/>
    <w:rsid w:val="035622C7"/>
    <w:rsid w:val="046C1C33"/>
    <w:rsid w:val="048B23D1"/>
    <w:rsid w:val="05270289"/>
    <w:rsid w:val="05720B50"/>
    <w:rsid w:val="05CF6D44"/>
    <w:rsid w:val="05DF2AD3"/>
    <w:rsid w:val="063B43C4"/>
    <w:rsid w:val="06657070"/>
    <w:rsid w:val="0666286A"/>
    <w:rsid w:val="06A40DD8"/>
    <w:rsid w:val="06BD123E"/>
    <w:rsid w:val="070C178C"/>
    <w:rsid w:val="077B4A04"/>
    <w:rsid w:val="07977FCC"/>
    <w:rsid w:val="082325FB"/>
    <w:rsid w:val="085C1124"/>
    <w:rsid w:val="08882020"/>
    <w:rsid w:val="08C21666"/>
    <w:rsid w:val="08CF53D7"/>
    <w:rsid w:val="08F24482"/>
    <w:rsid w:val="08F92834"/>
    <w:rsid w:val="09635040"/>
    <w:rsid w:val="096C7E81"/>
    <w:rsid w:val="09D932FA"/>
    <w:rsid w:val="0A9922EB"/>
    <w:rsid w:val="0AAB0418"/>
    <w:rsid w:val="0B862024"/>
    <w:rsid w:val="0BDA6F63"/>
    <w:rsid w:val="0C2375A0"/>
    <w:rsid w:val="0CF602B9"/>
    <w:rsid w:val="0D6A2A5B"/>
    <w:rsid w:val="0D825FA6"/>
    <w:rsid w:val="0E1B6C18"/>
    <w:rsid w:val="0EA63E35"/>
    <w:rsid w:val="0EB83A78"/>
    <w:rsid w:val="0F5A7A82"/>
    <w:rsid w:val="10960B93"/>
    <w:rsid w:val="11091323"/>
    <w:rsid w:val="115928D8"/>
    <w:rsid w:val="1186119F"/>
    <w:rsid w:val="119D7A8F"/>
    <w:rsid w:val="12BF15E3"/>
    <w:rsid w:val="131410F4"/>
    <w:rsid w:val="13314631"/>
    <w:rsid w:val="137071DB"/>
    <w:rsid w:val="139331A2"/>
    <w:rsid w:val="145225ED"/>
    <w:rsid w:val="14EB2BBC"/>
    <w:rsid w:val="14ED2AF0"/>
    <w:rsid w:val="1509486B"/>
    <w:rsid w:val="15386E3C"/>
    <w:rsid w:val="154A6FE5"/>
    <w:rsid w:val="15524B75"/>
    <w:rsid w:val="158B06B4"/>
    <w:rsid w:val="16320C6E"/>
    <w:rsid w:val="16455C98"/>
    <w:rsid w:val="16720153"/>
    <w:rsid w:val="16FF6FEE"/>
    <w:rsid w:val="1714120B"/>
    <w:rsid w:val="186C0371"/>
    <w:rsid w:val="18D60BCF"/>
    <w:rsid w:val="18DE1F70"/>
    <w:rsid w:val="193F6828"/>
    <w:rsid w:val="198D7140"/>
    <w:rsid w:val="1A385A6D"/>
    <w:rsid w:val="1B0D6FEB"/>
    <w:rsid w:val="1BA50F8B"/>
    <w:rsid w:val="1C1442B7"/>
    <w:rsid w:val="1C331870"/>
    <w:rsid w:val="1C4F16AA"/>
    <w:rsid w:val="1CA94605"/>
    <w:rsid w:val="1CC93C66"/>
    <w:rsid w:val="1D0C34D3"/>
    <w:rsid w:val="1D235A85"/>
    <w:rsid w:val="1D3270D2"/>
    <w:rsid w:val="1D576215"/>
    <w:rsid w:val="1D7E5F4F"/>
    <w:rsid w:val="1DAD2E71"/>
    <w:rsid w:val="1DB35D77"/>
    <w:rsid w:val="1DE259E5"/>
    <w:rsid w:val="1DF24A11"/>
    <w:rsid w:val="1E171C1F"/>
    <w:rsid w:val="1E1C3D76"/>
    <w:rsid w:val="1E2A3E84"/>
    <w:rsid w:val="1EFC218B"/>
    <w:rsid w:val="1F901C99"/>
    <w:rsid w:val="210411A8"/>
    <w:rsid w:val="22174BC4"/>
    <w:rsid w:val="22320BA5"/>
    <w:rsid w:val="22CF0F38"/>
    <w:rsid w:val="23533917"/>
    <w:rsid w:val="23825060"/>
    <w:rsid w:val="238673B5"/>
    <w:rsid w:val="24120911"/>
    <w:rsid w:val="24B5374E"/>
    <w:rsid w:val="24F75CB0"/>
    <w:rsid w:val="250262CE"/>
    <w:rsid w:val="251062CB"/>
    <w:rsid w:val="26F70DC6"/>
    <w:rsid w:val="270E7E69"/>
    <w:rsid w:val="27275F2D"/>
    <w:rsid w:val="27AC7537"/>
    <w:rsid w:val="27C64C5F"/>
    <w:rsid w:val="27E9297E"/>
    <w:rsid w:val="280D0F8A"/>
    <w:rsid w:val="285F65D0"/>
    <w:rsid w:val="2890797C"/>
    <w:rsid w:val="289F1401"/>
    <w:rsid w:val="28AC3E24"/>
    <w:rsid w:val="28F07A9D"/>
    <w:rsid w:val="28F5390B"/>
    <w:rsid w:val="28FB34B1"/>
    <w:rsid w:val="293D7A94"/>
    <w:rsid w:val="29601460"/>
    <w:rsid w:val="2965041B"/>
    <w:rsid w:val="29D100A2"/>
    <w:rsid w:val="2A0140CD"/>
    <w:rsid w:val="2A3D4A38"/>
    <w:rsid w:val="2A497B0A"/>
    <w:rsid w:val="2A6071E4"/>
    <w:rsid w:val="2B7E0BDE"/>
    <w:rsid w:val="2C534A84"/>
    <w:rsid w:val="2CBE5CA4"/>
    <w:rsid w:val="2D256324"/>
    <w:rsid w:val="2D734326"/>
    <w:rsid w:val="2DAF6D9C"/>
    <w:rsid w:val="2DD50728"/>
    <w:rsid w:val="2DFF16D6"/>
    <w:rsid w:val="2E067CF3"/>
    <w:rsid w:val="2E6A4F4B"/>
    <w:rsid w:val="2E7D7323"/>
    <w:rsid w:val="2EB03997"/>
    <w:rsid w:val="2ED04DCF"/>
    <w:rsid w:val="2EE5168F"/>
    <w:rsid w:val="2F6354CD"/>
    <w:rsid w:val="2F894402"/>
    <w:rsid w:val="2FDE0A0C"/>
    <w:rsid w:val="2FFF5194"/>
    <w:rsid w:val="30375F53"/>
    <w:rsid w:val="31075B7E"/>
    <w:rsid w:val="31C00377"/>
    <w:rsid w:val="31D53E05"/>
    <w:rsid w:val="321A793B"/>
    <w:rsid w:val="336F170D"/>
    <w:rsid w:val="33D74D57"/>
    <w:rsid w:val="33FD100B"/>
    <w:rsid w:val="342D3D10"/>
    <w:rsid w:val="345C21CD"/>
    <w:rsid w:val="34ED654D"/>
    <w:rsid w:val="356E661C"/>
    <w:rsid w:val="36621745"/>
    <w:rsid w:val="36D729EB"/>
    <w:rsid w:val="372C513B"/>
    <w:rsid w:val="37816805"/>
    <w:rsid w:val="37A715D5"/>
    <w:rsid w:val="38096233"/>
    <w:rsid w:val="38B5507E"/>
    <w:rsid w:val="38E01790"/>
    <w:rsid w:val="392379FD"/>
    <w:rsid w:val="39882630"/>
    <w:rsid w:val="39982100"/>
    <w:rsid w:val="3A175A0D"/>
    <w:rsid w:val="3A2223F3"/>
    <w:rsid w:val="3A582CF8"/>
    <w:rsid w:val="3AE7516E"/>
    <w:rsid w:val="3B0C397F"/>
    <w:rsid w:val="3B3F5966"/>
    <w:rsid w:val="3B567EEC"/>
    <w:rsid w:val="3BB255A6"/>
    <w:rsid w:val="3BF16905"/>
    <w:rsid w:val="3C8C646A"/>
    <w:rsid w:val="3CDA5C7C"/>
    <w:rsid w:val="3CF23B78"/>
    <w:rsid w:val="3D7372CE"/>
    <w:rsid w:val="3DFC6C2D"/>
    <w:rsid w:val="3E0A04BC"/>
    <w:rsid w:val="3E275F99"/>
    <w:rsid w:val="3EF961E5"/>
    <w:rsid w:val="3F1C7AF8"/>
    <w:rsid w:val="3F88033D"/>
    <w:rsid w:val="402B72D6"/>
    <w:rsid w:val="40DA6673"/>
    <w:rsid w:val="418D051C"/>
    <w:rsid w:val="41913CDF"/>
    <w:rsid w:val="41A339E2"/>
    <w:rsid w:val="41A94FAB"/>
    <w:rsid w:val="41FB44E3"/>
    <w:rsid w:val="421B31E0"/>
    <w:rsid w:val="423B16D9"/>
    <w:rsid w:val="426C70E7"/>
    <w:rsid w:val="428B67D2"/>
    <w:rsid w:val="43636A81"/>
    <w:rsid w:val="44447E0F"/>
    <w:rsid w:val="45780AA3"/>
    <w:rsid w:val="459E5C9F"/>
    <w:rsid w:val="45E711A3"/>
    <w:rsid w:val="46B9136B"/>
    <w:rsid w:val="473F0A29"/>
    <w:rsid w:val="474F20F1"/>
    <w:rsid w:val="47864314"/>
    <w:rsid w:val="47A46F90"/>
    <w:rsid w:val="48277FCD"/>
    <w:rsid w:val="48283FF0"/>
    <w:rsid w:val="48834F9F"/>
    <w:rsid w:val="48872786"/>
    <w:rsid w:val="48872F1F"/>
    <w:rsid w:val="48D05F12"/>
    <w:rsid w:val="48E03D9B"/>
    <w:rsid w:val="492D2F6F"/>
    <w:rsid w:val="493A2399"/>
    <w:rsid w:val="496F7666"/>
    <w:rsid w:val="49A26605"/>
    <w:rsid w:val="49AB577E"/>
    <w:rsid w:val="49AC5E96"/>
    <w:rsid w:val="49FE5B49"/>
    <w:rsid w:val="4A035300"/>
    <w:rsid w:val="4AA52508"/>
    <w:rsid w:val="4B8C2971"/>
    <w:rsid w:val="4BCE6511"/>
    <w:rsid w:val="4CA41489"/>
    <w:rsid w:val="4CFC58CC"/>
    <w:rsid w:val="4D9234B4"/>
    <w:rsid w:val="4E3D6F1E"/>
    <w:rsid w:val="4EED3F2E"/>
    <w:rsid w:val="4EFA17F5"/>
    <w:rsid w:val="4F4B5DAD"/>
    <w:rsid w:val="4F612959"/>
    <w:rsid w:val="4F69397E"/>
    <w:rsid w:val="4FB76E58"/>
    <w:rsid w:val="50937738"/>
    <w:rsid w:val="50B527C7"/>
    <w:rsid w:val="50CE67F3"/>
    <w:rsid w:val="50F01EEC"/>
    <w:rsid w:val="51CC1B90"/>
    <w:rsid w:val="51F82653"/>
    <w:rsid w:val="52D309BF"/>
    <w:rsid w:val="52E57838"/>
    <w:rsid w:val="53084648"/>
    <w:rsid w:val="53803A05"/>
    <w:rsid w:val="539A6A46"/>
    <w:rsid w:val="54770037"/>
    <w:rsid w:val="54E8210D"/>
    <w:rsid w:val="55CD0594"/>
    <w:rsid w:val="56A143BE"/>
    <w:rsid w:val="56F21E41"/>
    <w:rsid w:val="57251AC2"/>
    <w:rsid w:val="57306E72"/>
    <w:rsid w:val="575C5F21"/>
    <w:rsid w:val="57A2279F"/>
    <w:rsid w:val="57CC55E8"/>
    <w:rsid w:val="58337298"/>
    <w:rsid w:val="584E1BCB"/>
    <w:rsid w:val="58C45654"/>
    <w:rsid w:val="58ED4A6B"/>
    <w:rsid w:val="593B0D4C"/>
    <w:rsid w:val="598F2B6C"/>
    <w:rsid w:val="599C0AED"/>
    <w:rsid w:val="59D1610C"/>
    <w:rsid w:val="5AB92DD7"/>
    <w:rsid w:val="5B051627"/>
    <w:rsid w:val="5B1765FF"/>
    <w:rsid w:val="5B215ACE"/>
    <w:rsid w:val="5B9C38A7"/>
    <w:rsid w:val="5C5D72CE"/>
    <w:rsid w:val="5CC361BA"/>
    <w:rsid w:val="5D172D3A"/>
    <w:rsid w:val="5D262A71"/>
    <w:rsid w:val="5D697CB0"/>
    <w:rsid w:val="5E2A5031"/>
    <w:rsid w:val="5E3D4525"/>
    <w:rsid w:val="5E911756"/>
    <w:rsid w:val="5E9A64B2"/>
    <w:rsid w:val="5EB7258D"/>
    <w:rsid w:val="5EC27342"/>
    <w:rsid w:val="5F0C25F1"/>
    <w:rsid w:val="5F2C3DD1"/>
    <w:rsid w:val="5FA53823"/>
    <w:rsid w:val="5FBD5A14"/>
    <w:rsid w:val="5FEF1CF6"/>
    <w:rsid w:val="60200102"/>
    <w:rsid w:val="607D1317"/>
    <w:rsid w:val="60A229D5"/>
    <w:rsid w:val="60CC428A"/>
    <w:rsid w:val="60D46627"/>
    <w:rsid w:val="61E3588B"/>
    <w:rsid w:val="623353AC"/>
    <w:rsid w:val="627E074C"/>
    <w:rsid w:val="62A42602"/>
    <w:rsid w:val="62B21879"/>
    <w:rsid w:val="62C0363B"/>
    <w:rsid w:val="62D6174E"/>
    <w:rsid w:val="63335A61"/>
    <w:rsid w:val="63894AB2"/>
    <w:rsid w:val="64052A78"/>
    <w:rsid w:val="64473273"/>
    <w:rsid w:val="64992224"/>
    <w:rsid w:val="651C0B73"/>
    <w:rsid w:val="65BC08CD"/>
    <w:rsid w:val="65C23DA2"/>
    <w:rsid w:val="662C4B1F"/>
    <w:rsid w:val="663F7E20"/>
    <w:rsid w:val="66BB0D4F"/>
    <w:rsid w:val="66E40A76"/>
    <w:rsid w:val="66E62465"/>
    <w:rsid w:val="672C7CD4"/>
    <w:rsid w:val="683B61BC"/>
    <w:rsid w:val="69221BB5"/>
    <w:rsid w:val="693B0B59"/>
    <w:rsid w:val="6A640588"/>
    <w:rsid w:val="6BF5014B"/>
    <w:rsid w:val="6C1206A4"/>
    <w:rsid w:val="6C4148CD"/>
    <w:rsid w:val="6DB74CDB"/>
    <w:rsid w:val="6DF80910"/>
    <w:rsid w:val="6DFB5D0A"/>
    <w:rsid w:val="6E69446F"/>
    <w:rsid w:val="6E896EA8"/>
    <w:rsid w:val="6F0411B3"/>
    <w:rsid w:val="6F1741A9"/>
    <w:rsid w:val="6F252546"/>
    <w:rsid w:val="70090C45"/>
    <w:rsid w:val="700F2309"/>
    <w:rsid w:val="704676D2"/>
    <w:rsid w:val="70AD77F9"/>
    <w:rsid w:val="70FF515B"/>
    <w:rsid w:val="713F52BD"/>
    <w:rsid w:val="71520337"/>
    <w:rsid w:val="719C49BA"/>
    <w:rsid w:val="71FE5438"/>
    <w:rsid w:val="726228C1"/>
    <w:rsid w:val="727E1867"/>
    <w:rsid w:val="729027A4"/>
    <w:rsid w:val="72CD7BCB"/>
    <w:rsid w:val="735B274F"/>
    <w:rsid w:val="73922C6D"/>
    <w:rsid w:val="73A86934"/>
    <w:rsid w:val="73CF75B9"/>
    <w:rsid w:val="746C3E50"/>
    <w:rsid w:val="74713C5C"/>
    <w:rsid w:val="74AB5965"/>
    <w:rsid w:val="74DB71A5"/>
    <w:rsid w:val="750027F1"/>
    <w:rsid w:val="7501034C"/>
    <w:rsid w:val="751C53CA"/>
    <w:rsid w:val="75311D17"/>
    <w:rsid w:val="75611D60"/>
    <w:rsid w:val="759B4451"/>
    <w:rsid w:val="761A4AF7"/>
    <w:rsid w:val="763C4E71"/>
    <w:rsid w:val="76DC4839"/>
    <w:rsid w:val="76E84269"/>
    <w:rsid w:val="76EB4713"/>
    <w:rsid w:val="775B51A1"/>
    <w:rsid w:val="77630CFB"/>
    <w:rsid w:val="77FC10C4"/>
    <w:rsid w:val="7835263A"/>
    <w:rsid w:val="784C0DFA"/>
    <w:rsid w:val="7865574F"/>
    <w:rsid w:val="78950957"/>
    <w:rsid w:val="78D51BC9"/>
    <w:rsid w:val="7907689F"/>
    <w:rsid w:val="791037DD"/>
    <w:rsid w:val="795D33AB"/>
    <w:rsid w:val="79661F4A"/>
    <w:rsid w:val="79873F84"/>
    <w:rsid w:val="799B532B"/>
    <w:rsid w:val="7A5817EE"/>
    <w:rsid w:val="7AB14AA0"/>
    <w:rsid w:val="7AC471B7"/>
    <w:rsid w:val="7AEF3861"/>
    <w:rsid w:val="7B100CAE"/>
    <w:rsid w:val="7B3E71A5"/>
    <w:rsid w:val="7B941207"/>
    <w:rsid w:val="7BCB36DB"/>
    <w:rsid w:val="7CFC631E"/>
    <w:rsid w:val="7D144CEB"/>
    <w:rsid w:val="7D47153F"/>
    <w:rsid w:val="7D675E5B"/>
    <w:rsid w:val="7D8852BC"/>
    <w:rsid w:val="7DBA1023"/>
    <w:rsid w:val="7DBE6875"/>
    <w:rsid w:val="7E331D78"/>
    <w:rsid w:val="7E923F80"/>
    <w:rsid w:val="7EC20D63"/>
    <w:rsid w:val="7EF9642E"/>
    <w:rsid w:val="7F027B56"/>
    <w:rsid w:val="7F4D0C87"/>
    <w:rsid w:val="7FEE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9"/>
    <w:qFormat/>
    <w:uiPriority w:val="0"/>
    <w:pPr>
      <w:keepNext/>
      <w:adjustRightInd w:val="0"/>
      <w:jc w:val="center"/>
      <w:outlineLvl w:val="0"/>
    </w:pPr>
    <w:rPr>
      <w:rFonts w:ascii="仿宋_GB2312" w:hAnsi="仿宋_GB2312" w:eastAsia="仿宋"/>
      <w:b/>
      <w:bCs/>
      <w:color w:val="000000"/>
      <w:sz w:val="24"/>
    </w:rPr>
  </w:style>
  <w:style w:type="paragraph" w:styleId="3">
    <w:name w:val="heading 2"/>
    <w:basedOn w:val="1"/>
    <w:next w:val="1"/>
    <w:link w:val="42"/>
    <w:qFormat/>
    <w:uiPriority w:val="0"/>
    <w:pPr>
      <w:keepNext/>
      <w:keepLines/>
      <w:spacing w:line="560" w:lineRule="exact"/>
      <w:ind w:firstLine="200" w:firstLineChars="200"/>
      <w:outlineLvl w:val="1"/>
    </w:pPr>
    <w:rPr>
      <w:rFonts w:ascii="仿宋_GB2312" w:hAnsi="仿宋_GB2312" w:eastAsia="楷体_GB2312"/>
      <w:b/>
      <w:sz w:val="24"/>
      <w:szCs w:val="24"/>
    </w:rPr>
  </w:style>
  <w:style w:type="paragraph" w:styleId="4">
    <w:name w:val="heading 3"/>
    <w:basedOn w:val="1"/>
    <w:next w:val="1"/>
    <w:qFormat/>
    <w:uiPriority w:val="0"/>
    <w:pPr>
      <w:keepNext/>
      <w:keepLines/>
      <w:spacing w:line="440" w:lineRule="exact"/>
      <w:ind w:firstLine="510"/>
      <w:outlineLvl w:val="2"/>
    </w:pPr>
    <w:rPr>
      <w:rFonts w:eastAsia="楷体_GB2312"/>
      <w:sz w:val="28"/>
    </w:rPr>
  </w:style>
  <w:style w:type="paragraph" w:styleId="5">
    <w:name w:val="heading 4"/>
    <w:basedOn w:val="1"/>
    <w:next w:val="1"/>
    <w:qFormat/>
    <w:uiPriority w:val="0"/>
    <w:pPr>
      <w:numPr>
        <w:ilvl w:val="3"/>
        <w:numId w:val="1"/>
      </w:numPr>
      <w:adjustRightInd w:val="0"/>
      <w:spacing w:before="120" w:line="360" w:lineRule="auto"/>
      <w:textAlignment w:val="baseline"/>
      <w:outlineLvl w:val="3"/>
    </w:pPr>
    <w:rPr>
      <w:rFonts w:ascii="Arial" w:hAnsi="Arial" w:eastAsia="黑体"/>
      <w:kern w:val="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before="240" w:after="60"/>
      <w:jc w:val="center"/>
      <w:outlineLvl w:val="0"/>
    </w:pPr>
    <w:rPr>
      <w:rFonts w:ascii="Cambria" w:hAnsi="Cambria"/>
      <w:b/>
      <w:bCs/>
      <w:sz w:val="32"/>
      <w:szCs w:val="32"/>
    </w:rPr>
  </w:style>
  <w:style w:type="paragraph" w:styleId="7">
    <w:name w:val="Document Map"/>
    <w:basedOn w:val="1"/>
    <w:unhideWhenUsed/>
    <w:qFormat/>
    <w:uiPriority w:val="99"/>
    <w:rPr>
      <w:rFonts w:ascii="宋体"/>
      <w:sz w:val="18"/>
      <w:szCs w:val="18"/>
    </w:rPr>
  </w:style>
  <w:style w:type="paragraph" w:styleId="8">
    <w:name w:val="toa heading"/>
    <w:basedOn w:val="1"/>
    <w:next w:val="1"/>
    <w:unhideWhenUsed/>
    <w:qFormat/>
    <w:uiPriority w:val="0"/>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unhideWhenUsed/>
    <w:qFormat/>
    <w:uiPriority w:val="99"/>
    <w:pPr>
      <w:adjustRightInd w:val="0"/>
      <w:spacing w:line="440" w:lineRule="exact"/>
    </w:pPr>
    <w:rPr>
      <w:rFonts w:ascii="宋体" w:hAnsi="宋体"/>
      <w:bCs/>
      <w:color w:val="000000"/>
      <w:sz w:val="24"/>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widowControl/>
      <w:spacing w:line="360" w:lineRule="auto"/>
      <w:ind w:left="3828" w:right="1410" w:hanging="258"/>
    </w:pPr>
    <w:rPr>
      <w:rFonts w:ascii="Arial" w:hAnsi="Arial" w:eastAsia="幼圆"/>
      <w:b/>
      <w:kern w:val="0"/>
      <w:sz w:val="32"/>
    </w:rPr>
  </w:style>
  <w:style w:type="paragraph" w:styleId="14">
    <w:name w:val="Plain Text"/>
    <w:basedOn w:val="1"/>
    <w:unhideWhenUsed/>
    <w:qFormat/>
    <w:uiPriority w:val="0"/>
    <w:rPr>
      <w:rFonts w:ascii="宋体" w:hAnsi="Courier New"/>
    </w:rPr>
  </w:style>
  <w:style w:type="paragraph" w:styleId="15">
    <w:name w:val="Date"/>
    <w:basedOn w:val="1"/>
    <w:next w:val="1"/>
    <w:unhideWhenUsed/>
    <w:qFormat/>
    <w:uiPriority w:val="0"/>
    <w:pPr>
      <w:ind w:left="100" w:leftChars="2500"/>
    </w:pPr>
    <w:rPr>
      <w:rFonts w:eastAsia="楷体_GB2312"/>
      <w:sz w:val="48"/>
      <w:szCs w:val="24"/>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b/>
      <w:bCs/>
      <w:caps/>
      <w:sz w:val="20"/>
    </w:rPr>
  </w:style>
  <w:style w:type="paragraph" w:styleId="19">
    <w:name w:val="Subtitle"/>
    <w:basedOn w:val="1"/>
    <w:next w:val="1"/>
    <w:qFormat/>
    <w:uiPriority w:val="0"/>
    <w:pPr>
      <w:adjustRightInd w:val="0"/>
      <w:spacing w:after="60" w:line="360" w:lineRule="atLeast"/>
      <w:jc w:val="center"/>
      <w:textAlignment w:val="baseline"/>
    </w:pPr>
    <w:rPr>
      <w:rFonts w:ascii="Arial" w:hAnsi="Arial" w:eastAsia="黑体"/>
      <w:i/>
      <w:kern w:val="0"/>
      <w:sz w:val="24"/>
    </w:rPr>
  </w:style>
  <w:style w:type="paragraph" w:styleId="20">
    <w:name w:val="toc 2"/>
    <w:basedOn w:val="1"/>
    <w:next w:val="1"/>
    <w:unhideWhenUsed/>
    <w:qFormat/>
    <w:uiPriority w:val="39"/>
    <w:pPr>
      <w:ind w:left="210"/>
      <w:jc w:val="left"/>
    </w:pPr>
    <w:rPr>
      <w:smallCaps/>
      <w:sz w:val="20"/>
    </w:rPr>
  </w:style>
  <w:style w:type="paragraph" w:styleId="21">
    <w:name w:val="Body Text 2"/>
    <w:basedOn w:val="1"/>
    <w:next w:val="10"/>
    <w:qFormat/>
    <w:uiPriority w:val="0"/>
    <w:pPr>
      <w:spacing w:after="120" w:afterLines="0" w:line="480" w:lineRule="auto"/>
      <w:ind w:firstLine="0" w:firstLineChars="0"/>
    </w:pPr>
    <w:rPr>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ahoma" w:hAnsi="Tahoma"/>
      <w:b/>
      <w:bCs/>
      <w:sz w:val="24"/>
    </w:rPr>
  </w:style>
  <w:style w:type="character" w:styleId="27">
    <w:name w:val="Hyperlink"/>
    <w:qFormat/>
    <w:uiPriority w:val="99"/>
    <w:rPr>
      <w:color w:val="333333"/>
      <w:u w:val="none"/>
    </w:rPr>
  </w:style>
  <w:style w:type="paragraph" w:customStyle="1" w:styleId="28">
    <w:name w:val="表格文字"/>
    <w:basedOn w:val="1"/>
    <w:qFormat/>
    <w:uiPriority w:val="0"/>
    <w:pPr>
      <w:spacing w:before="25" w:after="25"/>
      <w:jc w:val="left"/>
    </w:pPr>
    <w:rPr>
      <w:bCs/>
      <w:spacing w:val="10"/>
      <w:kern w:val="0"/>
      <w:sz w:val="24"/>
    </w:rPr>
  </w:style>
  <w:style w:type="character" w:customStyle="1" w:styleId="29">
    <w:name w:val="标题 1 Char"/>
    <w:link w:val="2"/>
    <w:qFormat/>
    <w:uiPriority w:val="0"/>
    <w:rPr>
      <w:rFonts w:ascii="仿宋_GB2312" w:hAnsi="仿宋_GB2312" w:eastAsia="仿宋" w:cs="Times New Roman"/>
      <w:b/>
      <w:bCs/>
      <w:color w:val="000000"/>
      <w:sz w:val="24"/>
      <w:szCs w:val="20"/>
    </w:rPr>
  </w:style>
  <w:style w:type="paragraph" w:customStyle="1" w:styleId="30">
    <w:name w:val="p2"/>
    <w:basedOn w:val="1"/>
    <w:qFormat/>
    <w:uiPriority w:val="0"/>
    <w:pPr>
      <w:spacing w:before="0" w:beforeAutospacing="0" w:after="0" w:afterAutospacing="0" w:line="30" w:lineRule="atLeast"/>
      <w:ind w:left="0" w:right="0" w:firstLine="420"/>
      <w:jc w:val="left"/>
    </w:pPr>
    <w:rPr>
      <w:rFonts w:hint="eastAsia" w:ascii="宋体" w:hAnsi="宋体" w:eastAsia="宋体" w:cs="宋体"/>
      <w:kern w:val="0"/>
      <w:sz w:val="21"/>
      <w:szCs w:val="21"/>
      <w:lang w:val="en-US" w:eastAsia="zh-CN" w:bidi="ar"/>
    </w:rPr>
  </w:style>
  <w:style w:type="paragraph" w:customStyle="1" w:styleId="31">
    <w:name w:val="*正文"/>
    <w:basedOn w:val="1"/>
    <w:qFormat/>
    <w:uiPriority w:val="0"/>
    <w:pPr>
      <w:widowControl/>
      <w:spacing w:line="360" w:lineRule="auto"/>
      <w:ind w:firstLine="200" w:firstLineChars="200"/>
      <w:contextualSpacing/>
    </w:pPr>
    <w:rPr>
      <w:rFonts w:ascii="time" w:hAnsi="time"/>
      <w:kern w:val="0"/>
      <w:sz w:val="24"/>
      <w:szCs w:val="24"/>
      <w:lang w:bidi="en-US"/>
    </w:rPr>
  </w:style>
  <w:style w:type="paragraph" w:customStyle="1" w:styleId="3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正文文本 (2)1"/>
    <w:basedOn w:val="1"/>
    <w:qFormat/>
    <w:uiPriority w:val="99"/>
    <w:pPr>
      <w:shd w:val="clear" w:color="auto" w:fill="FFFFFF"/>
      <w:spacing w:line="240" w:lineRule="atLeast"/>
      <w:ind w:hanging="140"/>
      <w:jc w:val="left"/>
    </w:pPr>
    <w:rPr>
      <w:rFonts w:ascii="宋体" w:hAnsi="宋体"/>
      <w:kern w:val="0"/>
      <w:sz w:val="22"/>
      <w:szCs w:val="22"/>
    </w:rPr>
  </w:style>
  <w:style w:type="paragraph" w:customStyle="1" w:styleId="35">
    <w:name w:val="05正文"/>
    <w:basedOn w:val="1"/>
    <w:qFormat/>
    <w:uiPriority w:val="0"/>
    <w:pPr>
      <w:jc w:val="left"/>
    </w:pPr>
    <w:rPr>
      <w:rFonts w:ascii="宋体" w:hAnsi="Calibri"/>
      <w:szCs w:val="24"/>
    </w:rPr>
  </w:style>
  <w:style w:type="paragraph" w:customStyle="1" w:styleId="36">
    <w:name w:val="列出段落2"/>
    <w:basedOn w:val="1"/>
    <w:qFormat/>
    <w:uiPriority w:val="0"/>
    <w:pPr>
      <w:ind w:firstLine="420" w:firstLineChars="200"/>
    </w:pPr>
    <w:rPr>
      <w:szCs w:val="22"/>
    </w:rPr>
  </w:style>
  <w:style w:type="character" w:customStyle="1" w:styleId="37">
    <w:name w:val="fontstyle01"/>
    <w:basedOn w:val="25"/>
    <w:qFormat/>
    <w:uiPriority w:val="0"/>
    <w:rPr>
      <w:rFonts w:hint="eastAsia" w:ascii="微软雅黑" w:hAnsi="微软雅黑" w:eastAsia="微软雅黑"/>
      <w:color w:val="000000"/>
      <w:sz w:val="24"/>
      <w:szCs w:val="24"/>
    </w:r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
    <w:name w:val="列出段落1"/>
    <w:basedOn w:val="1"/>
    <w:qFormat/>
    <w:uiPriority w:val="0"/>
    <w:pPr>
      <w:ind w:firstLine="420" w:firstLineChars="200"/>
    </w:pPr>
    <w:rPr>
      <w:szCs w:val="21"/>
    </w:rPr>
  </w:style>
  <w:style w:type="character" w:customStyle="1" w:styleId="40">
    <w:name w:val="font01"/>
    <w:basedOn w:val="25"/>
    <w:qFormat/>
    <w:uiPriority w:val="0"/>
    <w:rPr>
      <w:rFonts w:hint="eastAsia" w:ascii="宋体" w:hAnsi="宋体" w:eastAsia="宋体" w:cs="宋体"/>
      <w:color w:val="000000"/>
      <w:sz w:val="22"/>
      <w:szCs w:val="22"/>
      <w:u w:val="none"/>
    </w:rPr>
  </w:style>
  <w:style w:type="character" w:customStyle="1" w:styleId="41">
    <w:name w:val="font11"/>
    <w:basedOn w:val="25"/>
    <w:qFormat/>
    <w:uiPriority w:val="0"/>
    <w:rPr>
      <w:rFonts w:hint="eastAsia" w:ascii="宋体" w:hAnsi="宋体" w:eastAsia="宋体" w:cs="宋体"/>
      <w:b/>
      <w:bCs/>
      <w:color w:val="000000"/>
      <w:sz w:val="22"/>
      <w:szCs w:val="22"/>
      <w:u w:val="none"/>
    </w:rPr>
  </w:style>
  <w:style w:type="character" w:customStyle="1" w:styleId="42">
    <w:name w:val="标题 2 Char"/>
    <w:link w:val="3"/>
    <w:qFormat/>
    <w:uiPriority w:val="0"/>
    <w:rPr>
      <w:rFonts w:ascii="仿宋_GB2312" w:hAnsi="仿宋_GB2312" w:eastAsia="楷体_GB2312"/>
      <w:b/>
      <w:sz w:val="24"/>
      <w:szCs w:val="24"/>
    </w:rPr>
  </w:style>
  <w:style w:type="paragraph" w:customStyle="1" w:styleId="43">
    <w:name w:val="列项"/>
    <w:basedOn w:val="1"/>
    <w:qFormat/>
    <w:uiPriority w:val="0"/>
    <w:pPr>
      <w:spacing w:line="500" w:lineRule="exact"/>
      <w:ind w:left="200" w:hanging="200" w:hangingChars="200"/>
    </w:pPr>
    <w:rPr>
      <w:rFonts w:ascii="宋体" w:hAnsi="宋体"/>
      <w:sz w:val="24"/>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宋体" w:hAnsi="宋体" w:eastAsia="宋体" w:cs="宋体"/>
      <w:sz w:val="20"/>
      <w:szCs w:val="20"/>
      <w:lang w:val="en-US" w:eastAsia="en-US" w:bidi="ar-SA"/>
    </w:rPr>
  </w:style>
  <w:style w:type="paragraph" w:customStyle="1" w:styleId="46">
    <w:name w:val="中等深浅网格 21"/>
    <w:qFormat/>
    <w:uiPriority w:val="1"/>
    <w:rPr>
      <w:rFonts w:ascii="Calibri" w:hAnsi="Calibri" w:eastAsia="宋体" w:cs="Times New Roman"/>
      <w:sz w:val="22"/>
      <w:szCs w:val="22"/>
      <w:lang w:val="en-US" w:eastAsia="zh-CN" w:bidi="ar-SA"/>
    </w:rPr>
  </w:style>
  <w:style w:type="paragraph" w:customStyle="1" w:styleId="47">
    <w:name w:val="彩色列表 - 强调文字颜色 12"/>
    <w:basedOn w:val="1"/>
    <w:autoRedefine/>
    <w:qFormat/>
    <w:uiPriority w:val="0"/>
    <w:pPr>
      <w:widowControl/>
      <w:snapToGrid w:val="0"/>
      <w:spacing w:before="156" w:beforeLines="50"/>
      <w:jc w:val="center"/>
      <w:textAlignment w:val="baseline"/>
    </w:pPr>
    <w:rPr>
      <w:rFonts w:ascii="微软雅黑" w:hAnsi="微软雅黑" w:eastAsia="微软雅黑"/>
      <w:b/>
      <w:bCs/>
      <w:kern w:val="1"/>
      <w:sz w:val="24"/>
    </w:rPr>
  </w:style>
  <w:style w:type="paragraph" w:styleId="48">
    <w:name w:val="List Paragraph"/>
    <w:basedOn w:val="1"/>
    <w:qFormat/>
    <w:uiPriority w:val="34"/>
    <w:pPr>
      <w:ind w:firstLine="420" w:firstLineChars="200"/>
    </w:pPr>
    <w:rPr>
      <w:rFonts w:ascii="Calibri" w:hAnsi="Calibri"/>
      <w:szCs w:val="22"/>
    </w:rPr>
  </w:style>
  <w:style w:type="paragraph" w:customStyle="1" w:styleId="49">
    <w:name w:val="newstyle15"/>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NormalCharacter"/>
    <w:qFormat/>
    <w:uiPriority w:val="0"/>
  </w:style>
  <w:style w:type="paragraph" w:customStyle="1" w:styleId="5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丽江市直属党政机关单位</Company>
  <Pages>83</Pages>
  <Words>17113</Words>
  <Characters>18429</Characters>
  <Lines>0</Lines>
  <Paragraphs>0</Paragraphs>
  <TotalTime>14</TotalTime>
  <ScaleCrop>false</ScaleCrop>
  <LinksUpToDate>false</LinksUpToDate>
  <CharactersWithSpaces>18699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2024-03-25T02:53:00Z</dcterms:created>
  <dc:creator>xxx</dc:creator>
  <cp:lastModifiedBy>橘子味的西瓜汁</cp:lastModifiedBy>
  <cp:lastPrinted>2024-11-29T06:09:00Z</cp:lastPrinted>
  <dcterms:modified xsi:type="dcterms:W3CDTF">2025-03-21T02:37:19Z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C2801A5EB3274886B780D4DF3C143C37_13</vt:lpwstr>
  </property>
  <property fmtid="{D5CDD505-2E9C-101B-9397-08002B2CF9AE}" pid="4" name="KSOTemplateDocerSaveRecord">
    <vt:lpwstr>eyJoZGlkIjoiY2I3OTg4YWEwNjZlMWEwODBhNDlmYTQ2YTkxNmNhYjciLCJ1c2VySWQiOiIzMDAyNzYzMTYifQ==</vt:lpwstr>
  </property>
</Properties>
</file>